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7D474" w14:textId="72210760" w:rsidR="002C5D34" w:rsidRDefault="009D3B5F">
      <w:pPr>
        <w:pStyle w:val="P68B1DB1-Normal1"/>
        <w:spacing w:after="0" w:line="276" w:lineRule="auto"/>
        <w:jc w:val="center"/>
        <w:rPr>
          <w:b/>
          <w:sz w:val="24"/>
        </w:rPr>
      </w:pPr>
      <w:r>
        <w:rPr>
          <w:noProof/>
        </w:rPr>
        <w:drawing>
          <wp:anchor distT="0" distB="0" distL="114300" distR="114300" simplePos="0" relativeHeight="251659264" behindDoc="0" locked="0" layoutInCell="1" allowOverlap="1" wp14:anchorId="7824F2B9" wp14:editId="64673A9D">
            <wp:simplePos x="0" y="0"/>
            <wp:positionH relativeFrom="margin">
              <wp:align>center</wp:align>
            </wp:positionH>
            <wp:positionV relativeFrom="topMargin">
              <wp:posOffset>339090</wp:posOffset>
            </wp:positionV>
            <wp:extent cx="1724025" cy="783590"/>
            <wp:effectExtent l="0" t="0" r="9525" b="0"/>
            <wp:wrapSquare wrapText="bothSides"/>
            <wp:docPr id="527679494" name="Resim 527679494" descr="metin, logo, yazı tipi, grafik içeren bir resim  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679494" name="Resim 527679494" descr="metin, logo, yazı tipi, grafik içeren bir resim  Açıklama otomatik olarak oluşturuldu"/>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24025" cy="783590"/>
                    </a:xfrm>
                    <a:prstGeom prst="rect">
                      <a:avLst/>
                    </a:prstGeom>
                    <a:noFill/>
                    <a:ln>
                      <a:noFill/>
                    </a:ln>
                  </pic:spPr>
                </pic:pic>
              </a:graphicData>
            </a:graphic>
          </wp:anchor>
        </w:drawing>
      </w:r>
    </w:p>
    <w:p w14:paraId="3C90974A" w14:textId="77777777" w:rsidR="002C5D34" w:rsidRDefault="002C5D34">
      <w:pPr>
        <w:spacing w:after="0" w:line="276" w:lineRule="auto"/>
        <w:jc w:val="center"/>
        <w:rPr>
          <w:rFonts w:ascii="Times New Roman" w:hAnsi="Times New Roman" w:cs="Times New Roman"/>
          <w:b/>
          <w:sz w:val="24"/>
        </w:rPr>
      </w:pPr>
    </w:p>
    <w:p w14:paraId="51D8483D" w14:textId="679E3CD5" w:rsidR="002C5D34" w:rsidRDefault="009D3B5F">
      <w:pPr>
        <w:pStyle w:val="P68B1DB1-Normal2"/>
        <w:spacing w:after="0" w:line="276" w:lineRule="auto"/>
        <w:jc w:val="center"/>
      </w:pPr>
      <w:r>
        <w:t xml:space="preserve">FENERBAHÇE UNIVERSITY </w:t>
      </w:r>
    </w:p>
    <w:p w14:paraId="01A6C402" w14:textId="2E29A269" w:rsidR="002C5D34" w:rsidRDefault="009D3B5F">
      <w:pPr>
        <w:pStyle w:val="P68B1DB1-Normal2"/>
        <w:spacing w:after="0" w:line="276" w:lineRule="auto"/>
        <w:jc w:val="center"/>
      </w:pPr>
      <w:r>
        <w:t>DIRECTIVE ON SUPPORTING ACADEMIC PUBLICATIONS</w:t>
      </w:r>
    </w:p>
    <w:p w14:paraId="39601031" w14:textId="77777777" w:rsidR="002C5D34" w:rsidRDefault="002C5D34">
      <w:pPr>
        <w:spacing w:after="0" w:line="276" w:lineRule="auto"/>
        <w:jc w:val="center"/>
        <w:rPr>
          <w:rFonts w:ascii="Times New Roman" w:hAnsi="Times New Roman" w:cs="Times New Roman"/>
          <w:b/>
          <w:sz w:val="24"/>
        </w:rPr>
      </w:pPr>
    </w:p>
    <w:p w14:paraId="1C69EA2A" w14:textId="77777777" w:rsidR="002C5D34" w:rsidRDefault="002C5D34">
      <w:pPr>
        <w:spacing w:after="0" w:line="276" w:lineRule="auto"/>
        <w:jc w:val="center"/>
        <w:rPr>
          <w:rFonts w:ascii="Times New Roman" w:hAnsi="Times New Roman" w:cs="Times New Roman"/>
          <w:sz w:val="24"/>
        </w:rPr>
      </w:pPr>
    </w:p>
    <w:p w14:paraId="0271AC14" w14:textId="77777777" w:rsidR="002C5D34" w:rsidRDefault="009D3B5F">
      <w:pPr>
        <w:pStyle w:val="P68B1DB1-Normal2"/>
        <w:spacing w:after="0" w:line="276" w:lineRule="auto"/>
        <w:jc w:val="center"/>
      </w:pPr>
      <w:r>
        <w:t>PART ONE</w:t>
      </w:r>
    </w:p>
    <w:p w14:paraId="6EAA8A86" w14:textId="27951015" w:rsidR="002C5D34" w:rsidRDefault="009D3B5F">
      <w:pPr>
        <w:pStyle w:val="P68B1DB1-Normal2"/>
        <w:spacing w:after="0" w:line="276" w:lineRule="auto"/>
        <w:jc w:val="center"/>
      </w:pPr>
      <w:r>
        <w:t>Purpose, Scope, Basis and Definitions</w:t>
      </w:r>
    </w:p>
    <w:p w14:paraId="4B83BC49" w14:textId="77777777" w:rsidR="002C5D34" w:rsidRDefault="002C5D34">
      <w:pPr>
        <w:spacing w:after="0" w:line="276" w:lineRule="auto"/>
        <w:jc w:val="both"/>
        <w:rPr>
          <w:rFonts w:ascii="Times New Roman" w:hAnsi="Times New Roman" w:cs="Times New Roman"/>
          <w:b/>
          <w:sz w:val="24"/>
        </w:rPr>
      </w:pPr>
    </w:p>
    <w:p w14:paraId="16668284" w14:textId="75A9BCC5" w:rsidR="002C5D34" w:rsidRDefault="009D3B5F">
      <w:pPr>
        <w:pStyle w:val="P68B1DB1-Normal2"/>
        <w:spacing w:after="0" w:line="276" w:lineRule="auto"/>
        <w:jc w:val="both"/>
      </w:pPr>
      <w:r>
        <w:t>Purpose</w:t>
      </w:r>
    </w:p>
    <w:p w14:paraId="1F863E33" w14:textId="0BBBC1F6" w:rsidR="002C5D34" w:rsidRDefault="009D3B5F">
      <w:pPr>
        <w:pStyle w:val="P68B1DB1-Normal3"/>
        <w:spacing w:after="0" w:line="276" w:lineRule="auto"/>
        <w:jc w:val="both"/>
      </w:pPr>
      <w:r>
        <w:rPr>
          <w:b/>
        </w:rPr>
        <w:t>ARTICLE 1 –</w:t>
      </w:r>
      <w:r>
        <w:t xml:space="preserve"> (1) This directive aims to regulate the procedures and principles for supporting academic publications that cite Fenerbahçe University as their affiliation. </w:t>
      </w:r>
    </w:p>
    <w:p w14:paraId="3D0CBF87" w14:textId="77777777" w:rsidR="002C5D34" w:rsidRDefault="002C5D34">
      <w:pPr>
        <w:spacing w:after="0" w:line="276" w:lineRule="auto"/>
        <w:jc w:val="both"/>
        <w:rPr>
          <w:rFonts w:ascii="Times New Roman" w:hAnsi="Times New Roman" w:cs="Times New Roman"/>
          <w:b/>
          <w:sz w:val="24"/>
        </w:rPr>
      </w:pPr>
    </w:p>
    <w:p w14:paraId="7C0CF634" w14:textId="629F50AC" w:rsidR="002C5D34" w:rsidRDefault="009D3B5F">
      <w:pPr>
        <w:pStyle w:val="P68B1DB1-Normal2"/>
        <w:spacing w:after="0" w:line="276" w:lineRule="auto"/>
        <w:jc w:val="both"/>
      </w:pPr>
      <w:r>
        <w:t>Scope</w:t>
      </w:r>
    </w:p>
    <w:p w14:paraId="184E1444" w14:textId="28D59793" w:rsidR="002C5D34" w:rsidRDefault="009D3B5F">
      <w:pPr>
        <w:pStyle w:val="P68B1DB1-Normal3"/>
        <w:spacing w:after="0" w:line="276" w:lineRule="auto"/>
        <w:jc w:val="both"/>
      </w:pPr>
      <w:r>
        <w:rPr>
          <w:b/>
        </w:rPr>
        <w:t>ARTICLE 2 –</w:t>
      </w:r>
      <w:r>
        <w:t xml:space="preserve"> (1) This directive covers the procedures and principles regarding the support of academic publications </w:t>
      </w:r>
      <w:r w:rsidR="00DA0576">
        <w:t>that cite Fenerbahçe University as their affiliation</w:t>
      </w:r>
      <w:r>
        <w:t xml:space="preserve">. </w:t>
      </w:r>
    </w:p>
    <w:p w14:paraId="70D933E4" w14:textId="77777777" w:rsidR="002C5D34" w:rsidRDefault="002C5D34">
      <w:pPr>
        <w:spacing w:after="0" w:line="276" w:lineRule="auto"/>
        <w:jc w:val="both"/>
        <w:rPr>
          <w:rFonts w:ascii="Times New Roman" w:hAnsi="Times New Roman" w:cs="Times New Roman"/>
          <w:sz w:val="24"/>
        </w:rPr>
      </w:pPr>
    </w:p>
    <w:p w14:paraId="4C462D9D" w14:textId="1DB42D50" w:rsidR="002C5D34" w:rsidRDefault="009D3B5F">
      <w:pPr>
        <w:pStyle w:val="P68B1DB1-Normal2"/>
        <w:spacing w:after="0" w:line="276" w:lineRule="auto"/>
        <w:jc w:val="both"/>
      </w:pPr>
      <w:r>
        <w:t>Basis</w:t>
      </w:r>
    </w:p>
    <w:p w14:paraId="0A342A6D" w14:textId="5BF8561F" w:rsidR="002C5D34" w:rsidRDefault="009D3B5F">
      <w:pPr>
        <w:pStyle w:val="P68B1DB1-Normal3"/>
        <w:spacing w:after="0" w:line="276" w:lineRule="auto"/>
        <w:jc w:val="both"/>
      </w:pPr>
      <w:r w:rsidRPr="009D3B5F">
        <w:rPr>
          <w:b/>
          <w:bCs/>
        </w:rPr>
        <w:t>ARTICLE</w:t>
      </w:r>
      <w:r>
        <w:t xml:space="preserve"> </w:t>
      </w:r>
      <w:r>
        <w:rPr>
          <w:b/>
        </w:rPr>
        <w:t>3 –</w:t>
      </w:r>
      <w:r>
        <w:t xml:space="preserve"> </w:t>
      </w:r>
      <w:r>
        <w:rPr>
          <w:b/>
        </w:rPr>
        <w:t xml:space="preserve">(1) </w:t>
      </w:r>
      <w:r w:rsidRPr="009D3B5F">
        <w:rPr>
          <w:bCs/>
        </w:rPr>
        <w:t>This directive has been prepared based on Article</w:t>
      </w:r>
      <w:r>
        <w:rPr>
          <w:b/>
        </w:rPr>
        <w:t xml:space="preserve"> </w:t>
      </w:r>
      <w:r>
        <w:t>14 of the Higher Education Law No. 2547.</w:t>
      </w:r>
      <w:r>
        <w:rPr>
          <w:b/>
        </w:rPr>
        <w:t xml:space="preserve"> </w:t>
      </w:r>
      <w:r>
        <w:t xml:space="preserve"> </w:t>
      </w:r>
    </w:p>
    <w:p w14:paraId="22E938B2" w14:textId="77777777" w:rsidR="002C5D34" w:rsidRDefault="002C5D34">
      <w:pPr>
        <w:spacing w:after="0" w:line="276" w:lineRule="auto"/>
        <w:jc w:val="both"/>
        <w:rPr>
          <w:rFonts w:ascii="Times New Roman" w:hAnsi="Times New Roman" w:cs="Times New Roman"/>
          <w:b/>
          <w:sz w:val="24"/>
        </w:rPr>
      </w:pPr>
    </w:p>
    <w:p w14:paraId="066C336C" w14:textId="3B50B980" w:rsidR="002C5D34" w:rsidRDefault="009D3B5F">
      <w:pPr>
        <w:pStyle w:val="P68B1DB1-Normal2"/>
        <w:spacing w:after="0" w:line="276" w:lineRule="auto"/>
        <w:jc w:val="both"/>
      </w:pPr>
      <w:r>
        <w:t>Definitions</w:t>
      </w:r>
    </w:p>
    <w:p w14:paraId="7FFD6AFB" w14:textId="5CCF92F5" w:rsidR="002C5D34" w:rsidRDefault="009D3B5F">
      <w:pPr>
        <w:pStyle w:val="P68B1DB1-Normal3"/>
        <w:spacing w:after="0" w:line="276" w:lineRule="auto"/>
        <w:jc w:val="both"/>
      </w:pPr>
      <w:r>
        <w:rPr>
          <w:b/>
        </w:rPr>
        <w:t>ARTICLE 4 –</w:t>
      </w:r>
      <w:r>
        <w:t xml:space="preserve"> (1) The definitions in this directive are as </w:t>
      </w:r>
      <w:proofErr w:type="gramStart"/>
      <w:r>
        <w:t>follows;</w:t>
      </w:r>
      <w:proofErr w:type="gramEnd"/>
    </w:p>
    <w:p w14:paraId="31CCAF79" w14:textId="5D0D3748" w:rsidR="002C5D34" w:rsidRDefault="009D3B5F">
      <w:pPr>
        <w:pStyle w:val="P68B1DB1-ListeParagraf4"/>
        <w:numPr>
          <w:ilvl w:val="0"/>
          <w:numId w:val="1"/>
        </w:numPr>
        <w:spacing w:after="0" w:line="276" w:lineRule="auto"/>
        <w:jc w:val="both"/>
      </w:pPr>
      <w:r>
        <w:t xml:space="preserve">Applicant: </w:t>
      </w:r>
      <w:r w:rsidR="002E0CB4" w:rsidRPr="002E0CB4">
        <w:t>Academic and administrative staff who have applied for university support to benefit from financial incentives through their indexed publications, academic staff appointed under Article 39 of the Higher Education Law, qualified researchers, visiting teaching staff, and visiting researchers</w:t>
      </w:r>
      <w:r w:rsidR="002E0CB4">
        <w:t>.</w:t>
      </w:r>
    </w:p>
    <w:p w14:paraId="14748D73" w14:textId="2BC6D67F" w:rsidR="002C5D34" w:rsidRDefault="009D3B5F">
      <w:pPr>
        <w:pStyle w:val="P68B1DB1-ListeParagraf4"/>
        <w:numPr>
          <w:ilvl w:val="0"/>
          <w:numId w:val="1"/>
        </w:numPr>
        <w:spacing w:after="0" w:line="276" w:lineRule="auto"/>
        <w:jc w:val="both"/>
      </w:pPr>
      <w:r>
        <w:t>Primary Indices: Social Sciences Citation Index (SSCI), Science Citation Index Expanded (SCI-E), and Arts &amp; Humanities Citation Index (AHCI).</w:t>
      </w:r>
    </w:p>
    <w:p w14:paraId="724CD996" w14:textId="1A5728B8" w:rsidR="002C5D34" w:rsidRDefault="009D3B5F">
      <w:pPr>
        <w:pStyle w:val="P68B1DB1-ListeParagraf4"/>
        <w:numPr>
          <w:ilvl w:val="0"/>
          <w:numId w:val="1"/>
        </w:numPr>
        <w:spacing w:after="0" w:line="276" w:lineRule="auto"/>
        <w:jc w:val="both"/>
      </w:pPr>
      <w:r>
        <w:t>Department: Department of Library and Documentation.</w:t>
      </w:r>
    </w:p>
    <w:p w14:paraId="3805D504" w14:textId="53DCDF61" w:rsidR="002C5D34" w:rsidRDefault="009D3B5F">
      <w:pPr>
        <w:pStyle w:val="P68B1DB1-ListeParagraf4"/>
        <w:numPr>
          <w:ilvl w:val="0"/>
          <w:numId w:val="1"/>
        </w:numPr>
        <w:spacing w:after="0" w:line="276" w:lineRule="auto"/>
        <w:jc w:val="both"/>
      </w:pPr>
      <w:r>
        <w:t>ESCI: Emerging Sources Citation Index.</w:t>
      </w:r>
    </w:p>
    <w:p w14:paraId="0DEF81DF" w14:textId="4C5424C6" w:rsidR="002C5D34" w:rsidRDefault="009D3B5F">
      <w:pPr>
        <w:pStyle w:val="P68B1DB1-ListeParagraf4"/>
        <w:numPr>
          <w:ilvl w:val="0"/>
          <w:numId w:val="1"/>
        </w:numPr>
        <w:spacing w:after="0" w:line="276" w:lineRule="auto"/>
        <w:jc w:val="both"/>
      </w:pPr>
      <w:r>
        <w:t xml:space="preserve">Publications: Compilation and research articles published in journals indexed in the </w:t>
      </w:r>
      <w:r w:rsidR="002E0CB4">
        <w:t>p</w:t>
      </w:r>
      <w:r>
        <w:t>rimary indices, ESCI</w:t>
      </w:r>
      <w:r w:rsidR="002E0CB4">
        <w:t xml:space="preserve"> and</w:t>
      </w:r>
      <w:r>
        <w:t xml:space="preserve"> Scopus. </w:t>
      </w:r>
    </w:p>
    <w:p w14:paraId="2E131AED" w14:textId="39D3AFE2" w:rsidR="002C5D34" w:rsidRDefault="009D3B5F">
      <w:pPr>
        <w:pStyle w:val="P68B1DB1-ListeParagraf4"/>
        <w:numPr>
          <w:ilvl w:val="0"/>
          <w:numId w:val="1"/>
        </w:numPr>
        <w:spacing w:after="0" w:line="276" w:lineRule="auto"/>
        <w:jc w:val="both"/>
      </w:pPr>
      <w:r>
        <w:t xml:space="preserve">Commission: The Commission for Supporting Academic Publications. </w:t>
      </w:r>
    </w:p>
    <w:p w14:paraId="6E23C9BA" w14:textId="16B6D095" w:rsidR="00075468" w:rsidRDefault="00075468">
      <w:pPr>
        <w:pStyle w:val="P68B1DB1-ListeParagraf4"/>
        <w:numPr>
          <w:ilvl w:val="0"/>
          <w:numId w:val="1"/>
        </w:numPr>
        <w:spacing w:after="0" w:line="276" w:lineRule="auto"/>
        <w:jc w:val="both"/>
      </w:pPr>
      <w:r w:rsidRPr="00075468">
        <w:t>Visiting Researcher: Researchers who do not meet the criteria for qualified researchers as defined in the Procedures and Principles Regarding the Part-Time Employment of Turkish or Foreign National Qualified Researchers with Doctoral Degrees at Higher Education Institutions.</w:t>
      </w:r>
    </w:p>
    <w:p w14:paraId="26BEC9F5" w14:textId="5303B0BA" w:rsidR="00075468" w:rsidRDefault="00075468">
      <w:pPr>
        <w:pStyle w:val="P68B1DB1-ListeParagraf4"/>
        <w:numPr>
          <w:ilvl w:val="0"/>
          <w:numId w:val="1"/>
        </w:numPr>
        <w:spacing w:after="0" w:line="276" w:lineRule="auto"/>
        <w:jc w:val="both"/>
      </w:pPr>
      <w:proofErr w:type="spellStart"/>
      <w:r>
        <w:t>Mozaik</w:t>
      </w:r>
      <w:proofErr w:type="spellEnd"/>
      <w:r>
        <w:t xml:space="preserve">: </w:t>
      </w:r>
      <w:r w:rsidRPr="00075468">
        <w:t>Fenerbahçe University Human Resources Portal</w:t>
      </w:r>
      <w:r>
        <w:t>.</w:t>
      </w:r>
    </w:p>
    <w:p w14:paraId="48A4229C" w14:textId="14BBCEBE" w:rsidR="002C5D34" w:rsidRDefault="009D3B5F">
      <w:pPr>
        <w:pStyle w:val="P68B1DB1-ListeParagraf4"/>
        <w:numPr>
          <w:ilvl w:val="0"/>
          <w:numId w:val="1"/>
        </w:numPr>
        <w:spacing w:after="0" w:line="276" w:lineRule="auto"/>
        <w:jc w:val="both"/>
      </w:pPr>
      <w:r>
        <w:lastRenderedPageBreak/>
        <w:t>Board of Trustees: Fenerbahçe University Board of Trustees.</w:t>
      </w:r>
    </w:p>
    <w:p w14:paraId="2121D29B" w14:textId="770BCDB5" w:rsidR="002C5D34" w:rsidRDefault="009D3B5F">
      <w:pPr>
        <w:pStyle w:val="P68B1DB1-ListeParagraf4"/>
        <w:numPr>
          <w:ilvl w:val="0"/>
          <w:numId w:val="1"/>
        </w:numPr>
        <w:spacing w:after="0" w:line="276" w:lineRule="auto"/>
        <w:jc w:val="both"/>
      </w:pPr>
      <w:r>
        <w:t xml:space="preserve">Chairman of the Board of Trustees: Chairman of the Board of Trustees of Fenerbahçe University. </w:t>
      </w:r>
    </w:p>
    <w:p w14:paraId="3CB1419E" w14:textId="7E8D0197" w:rsidR="00075468" w:rsidRDefault="00075468">
      <w:pPr>
        <w:pStyle w:val="P68B1DB1-ListeParagraf4"/>
        <w:numPr>
          <w:ilvl w:val="0"/>
          <w:numId w:val="1"/>
        </w:numPr>
        <w:spacing w:after="0" w:line="276" w:lineRule="auto"/>
        <w:jc w:val="both"/>
      </w:pPr>
      <w:r w:rsidRPr="00075468">
        <w:t>Qualified Researcher: A researcher who meets the criteria outlined in the Procedures and Principles Regarding the Part-Time Employment of Turkish or Foreign National Qualified Researchers with Doctoral Degrees at Higher Education Institutions.</w:t>
      </w:r>
    </w:p>
    <w:p w14:paraId="2999438D" w14:textId="27697CC1" w:rsidR="002C5D34" w:rsidRDefault="009D3B5F">
      <w:pPr>
        <w:pStyle w:val="P68B1DB1-ListeParagraf4"/>
        <w:numPr>
          <w:ilvl w:val="0"/>
          <w:numId w:val="1"/>
        </w:numPr>
        <w:spacing w:after="0" w:line="276" w:lineRule="auto"/>
        <w:jc w:val="both"/>
      </w:pPr>
      <w:r>
        <w:t>Q1: The category formed by journals in the top 25% based on the impact factor (IF</w:t>
      </w:r>
      <w:proofErr w:type="gramStart"/>
      <w:r>
        <w:t>) rankings</w:t>
      </w:r>
      <w:proofErr w:type="gramEnd"/>
      <w:r>
        <w:t xml:space="preserve"> specified in the Journal Citation Reports published by Clarivate. </w:t>
      </w:r>
    </w:p>
    <w:p w14:paraId="77C13762" w14:textId="14E3B2DC" w:rsidR="002C5D34" w:rsidRDefault="009D3B5F">
      <w:pPr>
        <w:pStyle w:val="P68B1DB1-ListeParagraf4"/>
        <w:numPr>
          <w:ilvl w:val="0"/>
          <w:numId w:val="1"/>
        </w:numPr>
        <w:spacing w:after="0" w:line="276" w:lineRule="auto"/>
        <w:jc w:val="both"/>
      </w:pPr>
      <w:r>
        <w:t xml:space="preserve">Q2: The category formed by journals in the second 25% </w:t>
      </w:r>
      <w:proofErr w:type="gramStart"/>
      <w:r>
        <w:t>based</w:t>
      </w:r>
      <w:proofErr w:type="gramEnd"/>
      <w:r>
        <w:t xml:space="preserve"> on the impact factor (IF) rankings specified in the Journal Citation Reports published by Clarivate.</w:t>
      </w:r>
    </w:p>
    <w:p w14:paraId="4A76AF86" w14:textId="7E5164FB" w:rsidR="002C5D34" w:rsidRDefault="009D3B5F">
      <w:pPr>
        <w:pStyle w:val="P68B1DB1-ListeParagraf4"/>
        <w:numPr>
          <w:ilvl w:val="0"/>
          <w:numId w:val="1"/>
        </w:numPr>
        <w:spacing w:after="0" w:line="276" w:lineRule="auto"/>
        <w:jc w:val="both"/>
      </w:pPr>
      <w:r>
        <w:t>Q3: The category formed by journals in the third 25% based on the impact factor (IF</w:t>
      </w:r>
      <w:proofErr w:type="gramStart"/>
      <w:r>
        <w:t>) rankings</w:t>
      </w:r>
      <w:proofErr w:type="gramEnd"/>
      <w:r>
        <w:t xml:space="preserve"> specified in the Journal Citation Reports published by Clarivate. </w:t>
      </w:r>
    </w:p>
    <w:p w14:paraId="46388A83" w14:textId="4018119C" w:rsidR="002C5D34" w:rsidRDefault="009D3B5F">
      <w:pPr>
        <w:pStyle w:val="P68B1DB1-ListeParagraf4"/>
        <w:numPr>
          <w:ilvl w:val="0"/>
          <w:numId w:val="1"/>
        </w:numPr>
        <w:spacing w:after="0" w:line="276" w:lineRule="auto"/>
        <w:jc w:val="both"/>
      </w:pPr>
      <w:r>
        <w:t>Q4: The category formed by journals in the fourth 25% based on the impact factor (IF</w:t>
      </w:r>
      <w:proofErr w:type="gramStart"/>
      <w:r>
        <w:t>) rankings</w:t>
      </w:r>
      <w:proofErr w:type="gramEnd"/>
      <w:r>
        <w:t xml:space="preserve"> specified in the Journal Citation Reports published by Clarivate.</w:t>
      </w:r>
    </w:p>
    <w:p w14:paraId="56FEB58C" w14:textId="11925AC6" w:rsidR="002C5D34" w:rsidRDefault="009D3B5F">
      <w:pPr>
        <w:pStyle w:val="P68B1DB1-ListeParagraf4"/>
        <w:numPr>
          <w:ilvl w:val="0"/>
          <w:numId w:val="1"/>
        </w:numPr>
        <w:spacing w:after="0" w:line="276" w:lineRule="auto"/>
        <w:jc w:val="both"/>
      </w:pPr>
      <w:r>
        <w:t xml:space="preserve">Rector: Fenerbahçe University Rector. </w:t>
      </w:r>
    </w:p>
    <w:p w14:paraId="0487B34D" w14:textId="550B87AA" w:rsidR="002C5D34" w:rsidRDefault="009D3B5F">
      <w:pPr>
        <w:pStyle w:val="P68B1DB1-ListeParagraf4"/>
        <w:numPr>
          <w:ilvl w:val="0"/>
          <w:numId w:val="1"/>
        </w:numPr>
        <w:spacing w:after="0" w:line="276" w:lineRule="auto"/>
        <w:jc w:val="both"/>
      </w:pPr>
      <w:r>
        <w:t xml:space="preserve">Rectorate: Fenerbahçe University Rectorate. </w:t>
      </w:r>
    </w:p>
    <w:p w14:paraId="21B70985" w14:textId="3C346572" w:rsidR="002C5D34" w:rsidRDefault="009D3B5F">
      <w:pPr>
        <w:pStyle w:val="P68B1DB1-ListeParagraf4"/>
        <w:numPr>
          <w:ilvl w:val="0"/>
          <w:numId w:val="1"/>
        </w:numPr>
        <w:spacing w:after="0" w:line="276" w:lineRule="auto"/>
        <w:jc w:val="both"/>
      </w:pPr>
      <w:r>
        <w:t xml:space="preserve">Senate: Fenerbahçe University Senate. </w:t>
      </w:r>
    </w:p>
    <w:p w14:paraId="4C925FA0" w14:textId="0282F991" w:rsidR="002C5D34" w:rsidRDefault="009D3B5F" w:rsidP="00075468">
      <w:pPr>
        <w:pStyle w:val="P68B1DB1-ListeParagraf4"/>
        <w:numPr>
          <w:ilvl w:val="0"/>
          <w:numId w:val="1"/>
        </w:numPr>
        <w:spacing w:after="0" w:line="276" w:lineRule="auto"/>
        <w:jc w:val="both"/>
      </w:pPr>
      <w:r>
        <w:t xml:space="preserve">University: Fenerbahçe University. </w:t>
      </w:r>
    </w:p>
    <w:p w14:paraId="073F3715" w14:textId="77777777" w:rsidR="00075468" w:rsidRDefault="00075468" w:rsidP="00075468">
      <w:pPr>
        <w:pStyle w:val="P68B1DB1-ListeParagraf4"/>
        <w:spacing w:after="0" w:line="276" w:lineRule="auto"/>
        <w:ind w:left="785"/>
        <w:jc w:val="both"/>
      </w:pPr>
    </w:p>
    <w:p w14:paraId="73B6613B" w14:textId="77777777" w:rsidR="002C5D34" w:rsidRDefault="002C5D34">
      <w:pPr>
        <w:spacing w:after="0" w:line="276" w:lineRule="auto"/>
        <w:jc w:val="both"/>
        <w:rPr>
          <w:rFonts w:ascii="Times New Roman" w:hAnsi="Times New Roman" w:cs="Times New Roman"/>
          <w:sz w:val="24"/>
        </w:rPr>
      </w:pPr>
    </w:p>
    <w:p w14:paraId="77BD9FF1" w14:textId="77777777" w:rsidR="002C5D34" w:rsidRDefault="009D3B5F">
      <w:pPr>
        <w:pStyle w:val="P68B1DB1-Normal2"/>
        <w:spacing w:after="0" w:line="276" w:lineRule="auto"/>
        <w:jc w:val="center"/>
      </w:pPr>
      <w:r>
        <w:t>PART TWO</w:t>
      </w:r>
    </w:p>
    <w:p w14:paraId="40ADD18B" w14:textId="77777777" w:rsidR="002C5D34" w:rsidRDefault="009D3B5F">
      <w:pPr>
        <w:pStyle w:val="P68B1DB1-Normal2"/>
        <w:spacing w:after="0" w:line="276" w:lineRule="auto"/>
        <w:jc w:val="center"/>
      </w:pPr>
      <w:r>
        <w:t>General Provisions</w:t>
      </w:r>
    </w:p>
    <w:p w14:paraId="6218970A" w14:textId="77777777" w:rsidR="00075468" w:rsidRDefault="00075468">
      <w:pPr>
        <w:spacing w:after="0" w:line="276" w:lineRule="auto"/>
        <w:jc w:val="both"/>
        <w:rPr>
          <w:rFonts w:ascii="Times New Roman" w:hAnsi="Times New Roman" w:cs="Times New Roman"/>
          <w:b/>
          <w:sz w:val="24"/>
        </w:rPr>
      </w:pPr>
    </w:p>
    <w:p w14:paraId="0071899C" w14:textId="64B590DD" w:rsidR="002C5D34" w:rsidRDefault="009D3B5F">
      <w:pPr>
        <w:pStyle w:val="P68B1DB1-Normal2"/>
        <w:spacing w:after="0" w:line="276" w:lineRule="auto"/>
        <w:jc w:val="both"/>
      </w:pPr>
      <w:r>
        <w:t>Application and the process of gaining the right to financial support</w:t>
      </w:r>
    </w:p>
    <w:p w14:paraId="1EB8CE36" w14:textId="44259B50" w:rsidR="002C5D34" w:rsidRDefault="009D3B5F">
      <w:pPr>
        <w:pStyle w:val="P68B1DB1-Normal3"/>
        <w:spacing w:after="0" w:line="276" w:lineRule="auto"/>
        <w:jc w:val="both"/>
      </w:pPr>
      <w:r>
        <w:rPr>
          <w:b/>
        </w:rPr>
        <w:t>ARTICLE 5 –</w:t>
      </w:r>
      <w:r>
        <w:t xml:space="preserve"> (1) </w:t>
      </w:r>
      <w:r w:rsidR="007D6DA4" w:rsidRPr="007D6DA4">
        <w:t>Applications are submitted as of the date the work is indexed, provided that the author’s address is listed as Fenerbahçe University.</w:t>
      </w:r>
    </w:p>
    <w:p w14:paraId="1883CA80" w14:textId="3C156C35" w:rsidR="002C5D34" w:rsidRDefault="009D3B5F">
      <w:pPr>
        <w:pStyle w:val="P68B1DB1-Normal3"/>
        <w:spacing w:after="0" w:line="276" w:lineRule="auto"/>
        <w:jc w:val="both"/>
        <w:rPr>
          <w:strike/>
        </w:rPr>
      </w:pPr>
      <w:r>
        <w:t xml:space="preserve">(2) </w:t>
      </w:r>
      <w:r w:rsidR="007D6DA4" w:rsidRPr="007D6DA4">
        <w:t>To be eligible for financial support, the phrase “Fenerbahçe University” must appear as the author’s address in the published full text of the work.</w:t>
      </w:r>
    </w:p>
    <w:p w14:paraId="4081056B" w14:textId="4A834E78" w:rsidR="002C5D34" w:rsidRDefault="009D3B5F">
      <w:pPr>
        <w:pStyle w:val="P68B1DB1-Normal3"/>
        <w:spacing w:after="0" w:line="276" w:lineRule="auto"/>
        <w:jc w:val="both"/>
      </w:pPr>
      <w:r>
        <w:t xml:space="preserve">(3) </w:t>
      </w:r>
      <w:r w:rsidR="007D6DA4" w:rsidRPr="007D6DA4">
        <w:t xml:space="preserve">The applicant submits the application via </w:t>
      </w:r>
      <w:proofErr w:type="spellStart"/>
      <w:r w:rsidR="007D6DA4" w:rsidRPr="007D6DA4">
        <w:t>Mozaik</w:t>
      </w:r>
      <w:proofErr w:type="spellEnd"/>
      <w:r w:rsidR="007D6DA4" w:rsidRPr="007D6DA4">
        <w:t xml:space="preserve">. </w:t>
      </w:r>
      <w:r w:rsidR="00075468" w:rsidRPr="00075468">
        <w:t xml:space="preserve">If it is not possible to apply via </w:t>
      </w:r>
      <w:proofErr w:type="spellStart"/>
      <w:r w:rsidR="00075468" w:rsidRPr="00075468">
        <w:t>Mozaik</w:t>
      </w:r>
      <w:proofErr w:type="spellEnd"/>
      <w:r w:rsidR="00075468" w:rsidRPr="00075468">
        <w:t>, applications may also be submitted by email.</w:t>
      </w:r>
      <w:r w:rsidR="00075468">
        <w:t xml:space="preserve"> </w:t>
      </w:r>
      <w:r w:rsidR="007D6DA4" w:rsidRPr="007D6DA4">
        <w:t>If more than one author is listed with the Fenerbahçe University address in a publication, any one of these authors may apply on behalf of the others. Following a preliminary evaluation, the Department forwards the application to the Commission for final evaluation.</w:t>
      </w:r>
    </w:p>
    <w:p w14:paraId="770D824C" w14:textId="77777777" w:rsidR="007D6DA4" w:rsidRDefault="009D3B5F">
      <w:pPr>
        <w:pStyle w:val="P68B1DB1-Normal3"/>
        <w:spacing w:after="0" w:line="276" w:lineRule="auto"/>
        <w:jc w:val="both"/>
      </w:pPr>
      <w:r>
        <w:t xml:space="preserve">(4) </w:t>
      </w:r>
      <w:r w:rsidR="007D6DA4" w:rsidRPr="007D6DA4">
        <w:t>Applications are reviewed by the Commission within one month from the date of application. The Commission submits its decision to the Rectorate.</w:t>
      </w:r>
    </w:p>
    <w:p w14:paraId="1771D15D" w14:textId="03297C7C" w:rsidR="002C5D34" w:rsidRDefault="009D3B5F">
      <w:pPr>
        <w:pStyle w:val="P68B1DB1-Normal3"/>
        <w:spacing w:after="0" w:line="276" w:lineRule="auto"/>
        <w:jc w:val="both"/>
      </w:pPr>
      <w:r>
        <w:t>(</w:t>
      </w:r>
      <w:r w:rsidR="007D6DA4">
        <w:t>5</w:t>
      </w:r>
      <w:r>
        <w:t xml:space="preserve">) </w:t>
      </w:r>
      <w:r w:rsidR="007D6DA4" w:rsidRPr="007D6DA4">
        <w:t xml:space="preserve">Payment to the applicant is made in accordance with the amount determined annually by the Board of Trustees, </w:t>
      </w:r>
      <w:proofErr w:type="gramStart"/>
      <w:r w:rsidR="007D6DA4" w:rsidRPr="007D6DA4">
        <w:t>taking into account</w:t>
      </w:r>
      <w:proofErr w:type="gramEnd"/>
      <w:r w:rsidR="007D6DA4" w:rsidRPr="007D6DA4">
        <w:t xml:space="preserve"> the criteria specified in the table in Article 6 of this directive</w:t>
      </w:r>
      <w:r>
        <w:t xml:space="preserve">. </w:t>
      </w:r>
    </w:p>
    <w:p w14:paraId="0DC8D36B" w14:textId="44A78E2A" w:rsidR="002C5D34" w:rsidRDefault="009D3B5F">
      <w:pPr>
        <w:pStyle w:val="P68B1DB1-Normal3"/>
        <w:spacing w:after="0" w:line="276" w:lineRule="auto"/>
        <w:jc w:val="both"/>
      </w:pPr>
      <w:r>
        <w:t>(</w:t>
      </w:r>
      <w:r w:rsidR="007D6DA4">
        <w:t>6</w:t>
      </w:r>
      <w:r>
        <w:t xml:space="preserve">) </w:t>
      </w:r>
      <w:r w:rsidR="007D6DA4" w:rsidRPr="007D6DA4">
        <w:t>The following criteria are applied when determining payments to authors:</w:t>
      </w:r>
    </w:p>
    <w:p w14:paraId="25364F92" w14:textId="77777777" w:rsidR="007D6DA4" w:rsidRPr="007D6DA4" w:rsidRDefault="007D6DA4">
      <w:pPr>
        <w:pStyle w:val="P68B1DB1-ListeParagraf5"/>
        <w:numPr>
          <w:ilvl w:val="0"/>
          <w:numId w:val="2"/>
        </w:numPr>
        <w:spacing w:after="0" w:line="276" w:lineRule="auto"/>
        <w:contextualSpacing w:val="0"/>
        <w:jc w:val="both"/>
      </w:pPr>
      <w:r w:rsidRPr="007D6DA4">
        <w:rPr>
          <w:rFonts w:eastAsiaTheme="minorHAnsi"/>
        </w:rPr>
        <w:lastRenderedPageBreak/>
        <w:t>In single-authored articles, the author receives the full incentive amount specified in this guideline.</w:t>
      </w:r>
    </w:p>
    <w:p w14:paraId="43C6131B" w14:textId="1671C243" w:rsidR="002C5D34" w:rsidRDefault="009D3B5F">
      <w:pPr>
        <w:pStyle w:val="P68B1DB1-ListeParagraf5"/>
        <w:numPr>
          <w:ilvl w:val="0"/>
          <w:numId w:val="2"/>
        </w:numPr>
        <w:spacing w:after="0" w:line="276" w:lineRule="auto"/>
        <w:contextualSpacing w:val="0"/>
        <w:jc w:val="both"/>
      </w:pPr>
      <w:r>
        <w:t>In publications with two authors, the author receives 0.8 times the incentive amount.</w:t>
      </w:r>
    </w:p>
    <w:p w14:paraId="20D7BF63" w14:textId="763D0ED1" w:rsidR="002C5D34" w:rsidRDefault="009D3B5F">
      <w:pPr>
        <w:pStyle w:val="P68B1DB1-ListeParagraf5"/>
        <w:numPr>
          <w:ilvl w:val="0"/>
          <w:numId w:val="2"/>
        </w:numPr>
        <w:spacing w:after="0" w:line="276" w:lineRule="auto"/>
        <w:contextualSpacing w:val="0"/>
        <w:jc w:val="both"/>
      </w:pPr>
      <w:r>
        <w:t>In publications with three or more authors, the incentive for each author is calculated using the formula: (1.8 × Incentive Amount)/n, (n=number of authors).</w:t>
      </w:r>
    </w:p>
    <w:p w14:paraId="67A3995C" w14:textId="0378053E" w:rsidR="00075468" w:rsidRDefault="00075468" w:rsidP="00075468">
      <w:pPr>
        <w:pStyle w:val="P68B1DB1-ListeParagraf5"/>
        <w:spacing w:after="0" w:line="276" w:lineRule="auto"/>
        <w:ind w:left="0"/>
        <w:contextualSpacing w:val="0"/>
        <w:jc w:val="both"/>
      </w:pPr>
      <w:r>
        <w:t xml:space="preserve">(7) </w:t>
      </w:r>
      <w:r w:rsidRPr="00075468">
        <w:t>If the published full text of a work lists addresses other than “Fenerbahçe University” for the author, the incentive amount for the relevant author shall be calculated by dividing the amount specified in paragraph 6 of this article by the total number of addresses. However, permanent members of the University who are pursuing postgraduate studies at another higher education institution, or who have received permission from the Rectorate to list another higher education institution as their address, shall receive their full entitled incentive if they list only this additional institution alongside Fenerbahçe University.</w:t>
      </w:r>
    </w:p>
    <w:p w14:paraId="50FED207" w14:textId="77777777" w:rsidR="002C5D34" w:rsidRDefault="002C5D34">
      <w:pPr>
        <w:spacing w:after="0" w:line="276" w:lineRule="auto"/>
        <w:jc w:val="both"/>
        <w:rPr>
          <w:rFonts w:ascii="Times New Roman" w:hAnsi="Times New Roman" w:cs="Times New Roman"/>
          <w:b/>
          <w:sz w:val="24"/>
        </w:rPr>
      </w:pPr>
    </w:p>
    <w:p w14:paraId="260B6048" w14:textId="3E5AA0BD" w:rsidR="002C5D34" w:rsidRDefault="009D3B5F">
      <w:pPr>
        <w:pStyle w:val="P68B1DB1-Normal2"/>
        <w:spacing w:after="0" w:line="276" w:lineRule="auto"/>
        <w:jc w:val="both"/>
      </w:pPr>
      <w:r>
        <w:t>Amount, rate, and calculation of financial support</w:t>
      </w:r>
    </w:p>
    <w:p w14:paraId="0809D429" w14:textId="673AC7D5" w:rsidR="002C5D34" w:rsidRDefault="009D3B5F">
      <w:pPr>
        <w:pStyle w:val="P68B1DB1-Normal3"/>
        <w:spacing w:after="0" w:line="276" w:lineRule="auto"/>
        <w:jc w:val="both"/>
      </w:pPr>
      <w:r>
        <w:rPr>
          <w:b/>
        </w:rPr>
        <w:t>ARTICLE 6 –</w:t>
      </w:r>
      <w:r>
        <w:t xml:space="preserve"> (1) Financial support payments to applicants entitled to financial support are made according to the criteria in Table 1. </w:t>
      </w:r>
    </w:p>
    <w:p w14:paraId="28EC3354" w14:textId="77777777" w:rsidR="002C5D34" w:rsidRDefault="002C5D34">
      <w:pPr>
        <w:spacing w:after="0" w:line="276" w:lineRule="auto"/>
        <w:jc w:val="both"/>
        <w:rPr>
          <w:rFonts w:ascii="Times New Roman" w:hAnsi="Times New Roman" w:cs="Times New Roman"/>
          <w:b/>
          <w:sz w:val="24"/>
        </w:rPr>
      </w:pPr>
    </w:p>
    <w:p w14:paraId="19020155" w14:textId="77777777" w:rsidR="00075468" w:rsidRDefault="00075468">
      <w:pPr>
        <w:spacing w:after="0" w:line="276" w:lineRule="auto"/>
        <w:jc w:val="both"/>
        <w:rPr>
          <w:rFonts w:ascii="Times New Roman" w:hAnsi="Times New Roman" w:cs="Times New Roman"/>
          <w:b/>
          <w:sz w:val="24"/>
        </w:rPr>
      </w:pPr>
    </w:p>
    <w:p w14:paraId="530510A7" w14:textId="3BF296E8" w:rsidR="002C5D34" w:rsidRDefault="009D3B5F">
      <w:pPr>
        <w:pStyle w:val="P68B1DB1-Normal2"/>
        <w:spacing w:after="0" w:line="276" w:lineRule="auto"/>
        <w:jc w:val="both"/>
      </w:pPr>
      <w:r>
        <w:t xml:space="preserve">Table 1: Calculation of Payments for Applicants Eligible for Financial Support </w:t>
      </w:r>
    </w:p>
    <w:p w14:paraId="17368300" w14:textId="77777777" w:rsidR="00075468" w:rsidRDefault="00075468">
      <w:pPr>
        <w:pStyle w:val="P68B1DB1-Normal2"/>
        <w:spacing w:after="0" w:line="276" w:lineRule="auto"/>
        <w:jc w:val="both"/>
      </w:pPr>
    </w:p>
    <w:p w14:paraId="39A07FC8" w14:textId="0879E959" w:rsidR="002C5D34" w:rsidRDefault="009D3B5F">
      <w:pPr>
        <w:pStyle w:val="P68B1DB1-Normal3"/>
        <w:spacing w:after="0" w:line="276" w:lineRule="auto"/>
        <w:jc w:val="both"/>
        <w:rPr>
          <w:b/>
        </w:rPr>
      </w:pPr>
      <w:r>
        <w:t xml:space="preserve"> </w:t>
      </w:r>
    </w:p>
    <w:tbl>
      <w:tblPr>
        <w:tblStyle w:val="TabloKlavuzu"/>
        <w:tblW w:w="8392" w:type="dxa"/>
        <w:tblInd w:w="108" w:type="dxa"/>
        <w:tblLayout w:type="fixed"/>
        <w:tblLook w:val="04A0" w:firstRow="1" w:lastRow="0" w:firstColumn="1" w:lastColumn="0" w:noHBand="0" w:noVBand="1"/>
      </w:tblPr>
      <w:tblGrid>
        <w:gridCol w:w="3569"/>
        <w:gridCol w:w="4823"/>
      </w:tblGrid>
      <w:tr w:rsidR="002C5D34" w14:paraId="765D2A07" w14:textId="77777777">
        <w:trPr>
          <w:trHeight w:val="332"/>
        </w:trPr>
        <w:tc>
          <w:tcPr>
            <w:tcW w:w="3569" w:type="dxa"/>
            <w:vAlign w:val="center"/>
          </w:tcPr>
          <w:p w14:paraId="5D52F98A" w14:textId="77777777" w:rsidR="002C5D34" w:rsidRDefault="009D3B5F">
            <w:pPr>
              <w:pStyle w:val="P68B1DB1-Normal2"/>
              <w:spacing w:line="276" w:lineRule="auto"/>
              <w:jc w:val="both"/>
            </w:pPr>
            <w:r>
              <w:t xml:space="preserve">Journal Type </w:t>
            </w:r>
          </w:p>
        </w:tc>
        <w:tc>
          <w:tcPr>
            <w:tcW w:w="4823" w:type="dxa"/>
            <w:vAlign w:val="center"/>
          </w:tcPr>
          <w:p w14:paraId="533C13D3" w14:textId="2B7B7294" w:rsidR="002C5D34" w:rsidRDefault="009D3B5F">
            <w:pPr>
              <w:pStyle w:val="P68B1DB1-Normal2"/>
              <w:spacing w:line="276" w:lineRule="auto"/>
              <w:jc w:val="both"/>
            </w:pPr>
            <w:r>
              <w:t xml:space="preserve">Financial Support* Rate </w:t>
            </w:r>
          </w:p>
        </w:tc>
      </w:tr>
      <w:tr w:rsidR="002C5D34" w14:paraId="7598456E" w14:textId="77777777">
        <w:trPr>
          <w:trHeight w:val="503"/>
        </w:trPr>
        <w:tc>
          <w:tcPr>
            <w:tcW w:w="3569" w:type="dxa"/>
            <w:vAlign w:val="center"/>
          </w:tcPr>
          <w:p w14:paraId="6F22424E" w14:textId="567F6FEE" w:rsidR="002C5D34" w:rsidRDefault="009D3B5F">
            <w:pPr>
              <w:pStyle w:val="P68B1DB1-Normal3"/>
              <w:spacing w:line="276" w:lineRule="auto"/>
              <w:jc w:val="both"/>
            </w:pPr>
            <w:r>
              <w:t>Journals in Category Q 1</w:t>
            </w:r>
          </w:p>
        </w:tc>
        <w:tc>
          <w:tcPr>
            <w:tcW w:w="4823" w:type="dxa"/>
            <w:vAlign w:val="center"/>
          </w:tcPr>
          <w:p w14:paraId="10569C9B" w14:textId="77777777" w:rsidR="002C5D34" w:rsidRDefault="009D3B5F">
            <w:pPr>
              <w:pStyle w:val="P68B1DB1-Normal3"/>
              <w:spacing w:line="276" w:lineRule="auto"/>
              <w:jc w:val="both"/>
            </w:pPr>
            <w:r>
              <w:t>100%</w:t>
            </w:r>
          </w:p>
        </w:tc>
      </w:tr>
      <w:tr w:rsidR="002C5D34" w14:paraId="0A27BFAA" w14:textId="77777777">
        <w:trPr>
          <w:trHeight w:val="494"/>
        </w:trPr>
        <w:tc>
          <w:tcPr>
            <w:tcW w:w="3569" w:type="dxa"/>
            <w:vAlign w:val="center"/>
          </w:tcPr>
          <w:p w14:paraId="6DAC8478" w14:textId="2C2C7BD4" w:rsidR="002C5D34" w:rsidRDefault="009D3B5F">
            <w:pPr>
              <w:pStyle w:val="P68B1DB1-Normal3"/>
              <w:spacing w:line="276" w:lineRule="auto"/>
              <w:jc w:val="both"/>
            </w:pPr>
            <w:r>
              <w:t>Journals in Category Q 2</w:t>
            </w:r>
          </w:p>
        </w:tc>
        <w:tc>
          <w:tcPr>
            <w:tcW w:w="4823" w:type="dxa"/>
            <w:vAlign w:val="center"/>
          </w:tcPr>
          <w:p w14:paraId="0E62E502" w14:textId="2F38FDDF" w:rsidR="002C5D34" w:rsidRDefault="009D3B5F">
            <w:pPr>
              <w:pStyle w:val="P68B1DB1-Normal3"/>
              <w:spacing w:line="276" w:lineRule="auto"/>
              <w:jc w:val="both"/>
            </w:pPr>
            <w:r>
              <w:t>80%</w:t>
            </w:r>
          </w:p>
        </w:tc>
      </w:tr>
      <w:tr w:rsidR="002C5D34" w14:paraId="58B0EB20" w14:textId="77777777">
        <w:trPr>
          <w:trHeight w:val="485"/>
        </w:trPr>
        <w:tc>
          <w:tcPr>
            <w:tcW w:w="3569" w:type="dxa"/>
            <w:vAlign w:val="center"/>
          </w:tcPr>
          <w:p w14:paraId="31F09748" w14:textId="3F9F1522" w:rsidR="002C5D34" w:rsidRDefault="009D3B5F">
            <w:pPr>
              <w:pStyle w:val="P68B1DB1-Normal3"/>
              <w:spacing w:line="276" w:lineRule="auto"/>
              <w:jc w:val="both"/>
            </w:pPr>
            <w:r>
              <w:t>Journals in Category Q 3</w:t>
            </w:r>
          </w:p>
        </w:tc>
        <w:tc>
          <w:tcPr>
            <w:tcW w:w="4823" w:type="dxa"/>
            <w:vAlign w:val="center"/>
          </w:tcPr>
          <w:p w14:paraId="75E86A4E" w14:textId="7A80B25D" w:rsidR="002C5D34" w:rsidRDefault="009D3B5F">
            <w:pPr>
              <w:pStyle w:val="P68B1DB1-Normal3"/>
              <w:spacing w:line="276" w:lineRule="auto"/>
              <w:jc w:val="both"/>
            </w:pPr>
            <w:r>
              <w:t>60%</w:t>
            </w:r>
          </w:p>
        </w:tc>
      </w:tr>
      <w:tr w:rsidR="002C5D34" w14:paraId="0410D68D" w14:textId="77777777">
        <w:trPr>
          <w:trHeight w:val="485"/>
        </w:trPr>
        <w:tc>
          <w:tcPr>
            <w:tcW w:w="3569" w:type="dxa"/>
            <w:vAlign w:val="center"/>
          </w:tcPr>
          <w:p w14:paraId="7807B8AD" w14:textId="22970BFD" w:rsidR="002C5D34" w:rsidRDefault="009D3B5F">
            <w:pPr>
              <w:pStyle w:val="P68B1DB1-Normal3"/>
              <w:spacing w:line="276" w:lineRule="auto"/>
              <w:jc w:val="both"/>
            </w:pPr>
            <w:r>
              <w:t>Journals on ESCI or Scopus</w:t>
            </w:r>
          </w:p>
        </w:tc>
        <w:tc>
          <w:tcPr>
            <w:tcW w:w="4823" w:type="dxa"/>
            <w:vAlign w:val="center"/>
          </w:tcPr>
          <w:p w14:paraId="5B44C6B2" w14:textId="3647908C" w:rsidR="002C5D34" w:rsidRDefault="009D3B5F">
            <w:pPr>
              <w:pStyle w:val="P68B1DB1-Normal3"/>
              <w:spacing w:line="276" w:lineRule="auto"/>
              <w:jc w:val="both"/>
            </w:pPr>
            <w:r>
              <w:t>30%</w:t>
            </w:r>
          </w:p>
        </w:tc>
      </w:tr>
      <w:tr w:rsidR="002C5D34" w14:paraId="0D949CD3" w14:textId="77777777">
        <w:trPr>
          <w:trHeight w:val="485"/>
        </w:trPr>
        <w:tc>
          <w:tcPr>
            <w:tcW w:w="3569" w:type="dxa"/>
            <w:vAlign w:val="center"/>
          </w:tcPr>
          <w:p w14:paraId="15038B35" w14:textId="5C3AF3F6" w:rsidR="002C5D34" w:rsidRDefault="00075468">
            <w:pPr>
              <w:pStyle w:val="P68B1DB1-Normal3"/>
              <w:spacing w:line="276" w:lineRule="auto"/>
              <w:jc w:val="both"/>
            </w:pPr>
            <w:r>
              <w:t>Journals in Category Q 4</w:t>
            </w:r>
          </w:p>
        </w:tc>
        <w:tc>
          <w:tcPr>
            <w:tcW w:w="4823" w:type="dxa"/>
            <w:vAlign w:val="center"/>
          </w:tcPr>
          <w:p w14:paraId="44003BA2" w14:textId="728120F3" w:rsidR="002C5D34" w:rsidRDefault="009D3B5F">
            <w:pPr>
              <w:pStyle w:val="P68B1DB1-Normal3"/>
              <w:spacing w:line="276" w:lineRule="auto"/>
              <w:jc w:val="both"/>
            </w:pPr>
            <w:r>
              <w:t>20%</w:t>
            </w:r>
          </w:p>
        </w:tc>
      </w:tr>
      <w:tr w:rsidR="002C5D34" w14:paraId="1CF24580" w14:textId="77777777">
        <w:trPr>
          <w:trHeight w:val="485"/>
        </w:trPr>
        <w:tc>
          <w:tcPr>
            <w:tcW w:w="8392" w:type="dxa"/>
            <w:gridSpan w:val="2"/>
            <w:vAlign w:val="center"/>
          </w:tcPr>
          <w:p w14:paraId="02FC1D07" w14:textId="399CA6A5" w:rsidR="002C5D34" w:rsidRDefault="009D3B5F">
            <w:pPr>
              <w:pStyle w:val="P68B1DB1-Normal3"/>
              <w:spacing w:line="276" w:lineRule="auto"/>
              <w:jc w:val="both"/>
            </w:pPr>
            <w:r>
              <w:t xml:space="preserve">(*) The amount of financial support is determined annually based on the proposal of the University Senate and the approval of the Board of Trustees. </w:t>
            </w:r>
          </w:p>
        </w:tc>
      </w:tr>
    </w:tbl>
    <w:p w14:paraId="1FA05C7F" w14:textId="77777777" w:rsidR="002C5D34" w:rsidRDefault="002C5D34">
      <w:pPr>
        <w:spacing w:after="0" w:line="276" w:lineRule="auto"/>
        <w:jc w:val="both"/>
        <w:rPr>
          <w:rFonts w:ascii="Times New Roman" w:hAnsi="Times New Roman" w:cs="Times New Roman"/>
          <w:sz w:val="24"/>
        </w:rPr>
      </w:pPr>
    </w:p>
    <w:p w14:paraId="26F0629B" w14:textId="77777777" w:rsidR="00075468" w:rsidRDefault="00075468">
      <w:pPr>
        <w:spacing w:after="0" w:line="276" w:lineRule="auto"/>
        <w:jc w:val="both"/>
        <w:rPr>
          <w:rFonts w:ascii="Times New Roman" w:hAnsi="Times New Roman" w:cs="Times New Roman"/>
          <w:sz w:val="24"/>
        </w:rPr>
      </w:pPr>
    </w:p>
    <w:p w14:paraId="794B6FD9" w14:textId="77777777" w:rsidR="00075468" w:rsidRDefault="00075468">
      <w:pPr>
        <w:spacing w:after="0" w:line="276" w:lineRule="auto"/>
        <w:jc w:val="both"/>
        <w:rPr>
          <w:rFonts w:ascii="Times New Roman" w:hAnsi="Times New Roman" w:cs="Times New Roman"/>
          <w:sz w:val="24"/>
        </w:rPr>
      </w:pPr>
    </w:p>
    <w:p w14:paraId="780FFF35" w14:textId="77777777" w:rsidR="00075468" w:rsidRDefault="00075468">
      <w:pPr>
        <w:spacing w:after="0" w:line="276" w:lineRule="auto"/>
        <w:jc w:val="both"/>
        <w:rPr>
          <w:rFonts w:ascii="Times New Roman" w:hAnsi="Times New Roman" w:cs="Times New Roman"/>
          <w:sz w:val="24"/>
        </w:rPr>
      </w:pPr>
    </w:p>
    <w:p w14:paraId="5FF39976" w14:textId="77777777" w:rsidR="00075468" w:rsidRDefault="00075468">
      <w:pPr>
        <w:spacing w:after="0" w:line="276" w:lineRule="auto"/>
        <w:jc w:val="both"/>
        <w:rPr>
          <w:rFonts w:ascii="Times New Roman" w:hAnsi="Times New Roman" w:cs="Times New Roman"/>
          <w:sz w:val="24"/>
        </w:rPr>
      </w:pPr>
    </w:p>
    <w:p w14:paraId="566A6F1A" w14:textId="77777777" w:rsidR="00075468" w:rsidRDefault="00075468">
      <w:pPr>
        <w:spacing w:after="0" w:line="276" w:lineRule="auto"/>
        <w:jc w:val="both"/>
        <w:rPr>
          <w:rFonts w:ascii="Times New Roman" w:hAnsi="Times New Roman" w:cs="Times New Roman"/>
          <w:sz w:val="24"/>
        </w:rPr>
      </w:pPr>
    </w:p>
    <w:p w14:paraId="7F2F22C0" w14:textId="77777777" w:rsidR="009D3B5F" w:rsidRDefault="009D3B5F">
      <w:pPr>
        <w:spacing w:after="0" w:line="276" w:lineRule="auto"/>
        <w:jc w:val="both"/>
        <w:rPr>
          <w:rFonts w:ascii="Times New Roman" w:hAnsi="Times New Roman" w:cs="Times New Roman"/>
          <w:sz w:val="24"/>
        </w:rPr>
      </w:pPr>
    </w:p>
    <w:p w14:paraId="61D16B40" w14:textId="77777777" w:rsidR="002C5D34" w:rsidRDefault="009D3B5F">
      <w:pPr>
        <w:pStyle w:val="P68B1DB1-Normal2"/>
        <w:spacing w:after="0" w:line="276" w:lineRule="auto"/>
        <w:jc w:val="center"/>
      </w:pPr>
      <w:r>
        <w:lastRenderedPageBreak/>
        <w:t>PART THREE</w:t>
      </w:r>
    </w:p>
    <w:p w14:paraId="09CA6198" w14:textId="0FC5B9BB" w:rsidR="002C5D34" w:rsidRDefault="009D3B5F">
      <w:pPr>
        <w:pStyle w:val="P68B1DB1-Normal2"/>
        <w:spacing w:after="0" w:line="276" w:lineRule="auto"/>
        <w:jc w:val="center"/>
      </w:pPr>
      <w:r>
        <w:t>Final Provisions</w:t>
      </w:r>
    </w:p>
    <w:p w14:paraId="04A9EDDF" w14:textId="77777777" w:rsidR="007D6DA4" w:rsidRDefault="007D6DA4">
      <w:pPr>
        <w:pStyle w:val="P68B1DB1-Normal2"/>
        <w:spacing w:after="0" w:line="276" w:lineRule="auto"/>
        <w:jc w:val="center"/>
      </w:pPr>
    </w:p>
    <w:p w14:paraId="7A9901CA" w14:textId="212C3EA6" w:rsidR="007D6DA4" w:rsidRPr="007D6DA4" w:rsidRDefault="007D6DA4" w:rsidP="007D6DA4">
      <w:pPr>
        <w:pStyle w:val="P68B1DB1-Normal2"/>
        <w:spacing w:after="0" w:line="276" w:lineRule="auto"/>
        <w:rPr>
          <w:b w:val="0"/>
          <w:bCs/>
        </w:rPr>
      </w:pPr>
      <w:r w:rsidRPr="007D6DA4">
        <w:t xml:space="preserve">TRANSITIONAL PROVISION: </w:t>
      </w:r>
      <w:r w:rsidRPr="007D6DA4">
        <w:rPr>
          <w:b w:val="0"/>
          <w:bCs/>
        </w:rPr>
        <w:t>The amendments to Article 6 of this guideline shall apply to articles indexed on or after July 1, 2026.</w:t>
      </w:r>
    </w:p>
    <w:p w14:paraId="2F72FA66" w14:textId="77777777" w:rsidR="002C5D34" w:rsidRDefault="002C5D34">
      <w:pPr>
        <w:spacing w:after="0" w:line="276" w:lineRule="auto"/>
        <w:jc w:val="both"/>
        <w:rPr>
          <w:rFonts w:ascii="Times New Roman" w:hAnsi="Times New Roman" w:cs="Times New Roman"/>
          <w:b/>
          <w:sz w:val="24"/>
        </w:rPr>
      </w:pPr>
    </w:p>
    <w:p w14:paraId="340EBB4B" w14:textId="68FCEF1F" w:rsidR="002C5D34" w:rsidRDefault="009D3B5F">
      <w:pPr>
        <w:pStyle w:val="P68B1DB1-Normal2"/>
        <w:spacing w:after="0" w:line="276" w:lineRule="auto"/>
        <w:jc w:val="both"/>
      </w:pPr>
      <w:r>
        <w:t>Effective Date</w:t>
      </w:r>
    </w:p>
    <w:p w14:paraId="3433F321" w14:textId="5A2E7712" w:rsidR="002C5D34" w:rsidRDefault="009D3B5F">
      <w:pPr>
        <w:pStyle w:val="P68B1DB1-Normal3"/>
        <w:spacing w:after="0" w:line="276" w:lineRule="auto"/>
        <w:jc w:val="both"/>
      </w:pPr>
      <w:r>
        <w:rPr>
          <w:b/>
        </w:rPr>
        <w:t>ARTICLE 7 –</w:t>
      </w:r>
      <w:r>
        <w:t xml:space="preserve"> (1) This directive takes effect on the date it is approved by the Senate. </w:t>
      </w:r>
    </w:p>
    <w:p w14:paraId="09EB0C19" w14:textId="77777777" w:rsidR="002C5D34" w:rsidRDefault="002C5D34">
      <w:pPr>
        <w:spacing w:after="0" w:line="276" w:lineRule="auto"/>
        <w:jc w:val="both"/>
        <w:rPr>
          <w:rFonts w:ascii="Times New Roman" w:hAnsi="Times New Roman" w:cs="Times New Roman"/>
          <w:sz w:val="24"/>
        </w:rPr>
      </w:pPr>
    </w:p>
    <w:p w14:paraId="37FEEBCF" w14:textId="193BCC76" w:rsidR="002C5D34" w:rsidRDefault="009D3B5F">
      <w:pPr>
        <w:pStyle w:val="P68B1DB1-Normal3"/>
        <w:spacing w:after="0" w:line="276" w:lineRule="auto"/>
        <w:jc w:val="both"/>
        <w:rPr>
          <w:b/>
        </w:rPr>
      </w:pPr>
      <w:r>
        <w:rPr>
          <w:b/>
        </w:rPr>
        <w:t>Implementation</w:t>
      </w:r>
    </w:p>
    <w:p w14:paraId="49A946BB" w14:textId="4E551127" w:rsidR="002C5D34" w:rsidRDefault="009D3B5F">
      <w:pPr>
        <w:pStyle w:val="P68B1DB1-Normal3"/>
        <w:spacing w:after="0" w:line="276" w:lineRule="auto"/>
        <w:jc w:val="both"/>
      </w:pPr>
      <w:r>
        <w:rPr>
          <w:b/>
        </w:rPr>
        <w:t>ARTICLE 8 –</w:t>
      </w:r>
      <w:r>
        <w:t xml:space="preserve"> (1) The provisions of this directive are implemented by the Rector.</w:t>
      </w:r>
    </w:p>
    <w:p w14:paraId="6A2D3607" w14:textId="637E8A00" w:rsidR="007D6DA4" w:rsidRDefault="007D6DA4" w:rsidP="007D6DA4">
      <w:pPr>
        <w:tabs>
          <w:tab w:val="left" w:pos="5359"/>
        </w:tabs>
      </w:pPr>
      <w:r>
        <w:tab/>
      </w:r>
    </w:p>
    <w:p w14:paraId="18D66887" w14:textId="77777777" w:rsidR="00075468" w:rsidRPr="00075468" w:rsidRDefault="00075468" w:rsidP="00075468"/>
    <w:p w14:paraId="3D37563B" w14:textId="77777777" w:rsidR="00075468" w:rsidRPr="00075468" w:rsidRDefault="00075468" w:rsidP="00075468"/>
    <w:p w14:paraId="3C94401B" w14:textId="77777777" w:rsidR="00075468" w:rsidRPr="00075468" w:rsidRDefault="00075468" w:rsidP="00075468"/>
    <w:p w14:paraId="3568E8ED" w14:textId="77777777" w:rsidR="00075468" w:rsidRPr="00075468" w:rsidRDefault="00075468" w:rsidP="00075468"/>
    <w:p w14:paraId="23CF3E84" w14:textId="77777777" w:rsidR="00075468" w:rsidRPr="00075468" w:rsidRDefault="00075468" w:rsidP="00075468"/>
    <w:p w14:paraId="2D94B1FD" w14:textId="77777777" w:rsidR="00075468" w:rsidRPr="00075468" w:rsidRDefault="00075468" w:rsidP="00075468"/>
    <w:p w14:paraId="249C6B90" w14:textId="77777777" w:rsidR="00075468" w:rsidRPr="00075468" w:rsidRDefault="00075468" w:rsidP="00075468"/>
    <w:p w14:paraId="1E6A88DD" w14:textId="77777777" w:rsidR="00075468" w:rsidRPr="00075468" w:rsidRDefault="00075468" w:rsidP="00075468"/>
    <w:p w14:paraId="4B2919C0" w14:textId="77777777" w:rsidR="00075468" w:rsidRPr="00075468" w:rsidRDefault="00075468" w:rsidP="00075468"/>
    <w:p w14:paraId="266DEF5C" w14:textId="77777777" w:rsidR="00075468" w:rsidRPr="00075468" w:rsidRDefault="00075468" w:rsidP="00075468"/>
    <w:p w14:paraId="0C80AAA0" w14:textId="77777777" w:rsidR="00075468" w:rsidRPr="00075468" w:rsidRDefault="00075468" w:rsidP="00075468"/>
    <w:p w14:paraId="0DCBD733" w14:textId="77777777" w:rsidR="00075468" w:rsidRPr="00075468" w:rsidRDefault="00075468" w:rsidP="00075468"/>
    <w:p w14:paraId="312B2BD7" w14:textId="77777777" w:rsidR="00075468" w:rsidRPr="00075468" w:rsidRDefault="00075468" w:rsidP="00075468"/>
    <w:p w14:paraId="378F3E8C" w14:textId="77777777" w:rsidR="00075468" w:rsidRPr="00075468" w:rsidRDefault="00075468" w:rsidP="00075468"/>
    <w:p w14:paraId="1C8C4932" w14:textId="77777777" w:rsidR="00075468" w:rsidRPr="00075468" w:rsidRDefault="00075468" w:rsidP="00075468"/>
    <w:p w14:paraId="65CE0C19" w14:textId="77777777" w:rsidR="00075468" w:rsidRPr="00075468" w:rsidRDefault="00075468" w:rsidP="00075468"/>
    <w:p w14:paraId="6CC90119" w14:textId="77777777" w:rsidR="00075468" w:rsidRPr="00075468" w:rsidRDefault="00075468" w:rsidP="00075468"/>
    <w:p w14:paraId="767E433C" w14:textId="77777777" w:rsidR="00075468" w:rsidRPr="00075468" w:rsidRDefault="00075468" w:rsidP="00075468"/>
    <w:p w14:paraId="6F4161D2" w14:textId="3A52998B" w:rsidR="00075468" w:rsidRPr="00075468" w:rsidRDefault="00075468" w:rsidP="00075468">
      <w:pPr>
        <w:tabs>
          <w:tab w:val="left" w:pos="5347"/>
        </w:tabs>
      </w:pPr>
      <w:r>
        <w:tab/>
      </w:r>
    </w:p>
    <w:sectPr w:rsidR="00075468" w:rsidRPr="00075468">
      <w:headerReference w:type="default" r:id="rId8"/>
      <w:footerReference w:type="default" r:id="rId9"/>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1894C" w14:textId="77777777" w:rsidR="00565820" w:rsidRDefault="00565820">
      <w:pPr>
        <w:spacing w:after="0" w:line="240" w:lineRule="auto"/>
      </w:pPr>
      <w:r>
        <w:separator/>
      </w:r>
    </w:p>
  </w:endnote>
  <w:endnote w:type="continuationSeparator" w:id="0">
    <w:p w14:paraId="2EA69CEB" w14:textId="77777777" w:rsidR="00565820" w:rsidRDefault="005658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rPr>
      <w:id w:val="785548674"/>
      <w:docPartObj>
        <w:docPartGallery w:val="Page Numbers (Bottom of Page)"/>
        <w:docPartUnique/>
      </w:docPartObj>
    </w:sdtPr>
    <w:sdtEndPr/>
    <w:sdtContent>
      <w:p w14:paraId="4E85E7F9" w14:textId="77777777" w:rsidR="002C5D34" w:rsidRDefault="002C5D34">
        <w:pPr>
          <w:pStyle w:val="AltBilgi"/>
          <w:jc w:val="center"/>
        </w:pPr>
      </w:p>
      <w:tbl>
        <w:tblPr>
          <w:tblStyle w:val="TabloKlavuzu"/>
          <w:tblW w:w="8930" w:type="dxa"/>
          <w:tblInd w:w="279" w:type="dxa"/>
          <w:tblLayout w:type="fixed"/>
          <w:tblLook w:val="04A0" w:firstRow="1" w:lastRow="0" w:firstColumn="1" w:lastColumn="0" w:noHBand="0" w:noVBand="1"/>
        </w:tblPr>
        <w:tblGrid>
          <w:gridCol w:w="2126"/>
          <w:gridCol w:w="2109"/>
          <w:gridCol w:w="1714"/>
          <w:gridCol w:w="1422"/>
          <w:gridCol w:w="1559"/>
        </w:tblGrid>
        <w:tr w:rsidR="002C5D34" w14:paraId="6933525F" w14:textId="77777777">
          <w:trPr>
            <w:trHeight w:val="416"/>
          </w:trPr>
          <w:tc>
            <w:tcPr>
              <w:tcW w:w="2126" w:type="dxa"/>
            </w:tcPr>
            <w:p w14:paraId="02212675" w14:textId="77777777" w:rsidR="002C5D34" w:rsidRDefault="009D3B5F">
              <w:pPr>
                <w:pStyle w:val="P68B1DB1-AltBilgi6"/>
                <w:spacing w:line="240" w:lineRule="atLeast"/>
              </w:pPr>
              <w:r>
                <w:t>Doc. code: YÖN.REK.12</w:t>
              </w:r>
            </w:p>
          </w:tc>
          <w:tc>
            <w:tcPr>
              <w:tcW w:w="2109" w:type="dxa"/>
            </w:tcPr>
            <w:p w14:paraId="4CCD18AA" w14:textId="77777777" w:rsidR="002C5D34" w:rsidRDefault="009D3B5F">
              <w:pPr>
                <w:pStyle w:val="P68B1DB1-AltBilgi6"/>
                <w:spacing w:line="240" w:lineRule="atLeast"/>
              </w:pPr>
              <w:r>
                <w:t>RELEASE DATE: 24.11.2020</w:t>
              </w:r>
            </w:p>
          </w:tc>
          <w:tc>
            <w:tcPr>
              <w:tcW w:w="1714" w:type="dxa"/>
            </w:tcPr>
            <w:p w14:paraId="73381A82" w14:textId="07FE3B9D" w:rsidR="002C5D34" w:rsidRDefault="009D3B5F">
              <w:pPr>
                <w:pStyle w:val="P68B1DB1-AltBilgi6"/>
                <w:spacing w:line="240" w:lineRule="atLeast"/>
              </w:pPr>
              <w:r>
                <w:t xml:space="preserve">REV. DATE: </w:t>
              </w:r>
              <w:r w:rsidR="00075468">
                <w:rPr>
                  <w:szCs w:val="16"/>
                </w:rPr>
                <w:t>29.01.2026</w:t>
              </w:r>
            </w:p>
          </w:tc>
          <w:tc>
            <w:tcPr>
              <w:tcW w:w="1422" w:type="dxa"/>
            </w:tcPr>
            <w:p w14:paraId="4A5DDB85" w14:textId="7D7F76F5" w:rsidR="002C5D34" w:rsidRDefault="009D3B5F">
              <w:pPr>
                <w:pStyle w:val="P68B1DB1-AltBilgi6"/>
                <w:spacing w:line="240" w:lineRule="atLeast"/>
                <w:jc w:val="center"/>
              </w:pPr>
              <w:r>
                <w:t xml:space="preserve">REV. NO: </w:t>
              </w:r>
              <w:r w:rsidR="00075468">
                <w:rPr>
                  <w:szCs w:val="16"/>
                </w:rPr>
                <w:t>10</w:t>
              </w:r>
            </w:p>
          </w:tc>
          <w:tc>
            <w:tcPr>
              <w:tcW w:w="1559" w:type="dxa"/>
            </w:tcPr>
            <w:p w14:paraId="0DBB658C" w14:textId="77777777" w:rsidR="002C5D34" w:rsidRDefault="009D3B5F">
              <w:pPr>
                <w:pStyle w:val="P68B1DB1-AltBilgi6"/>
                <w:spacing w:line="240" w:lineRule="atLeast"/>
                <w:jc w:val="center"/>
              </w:pPr>
              <w:r>
                <w:t>INTERNAL ONLY</w:t>
              </w:r>
            </w:p>
          </w:tc>
        </w:tr>
      </w:tbl>
      <w:p w14:paraId="338C6497" w14:textId="2F1BBDDC" w:rsidR="002C5D34" w:rsidRDefault="009D3B5F">
        <w:pPr>
          <w:pStyle w:val="P68B1DB1-AltBilgi6"/>
          <w:jc w:val="center"/>
        </w:pPr>
        <w:r>
          <w:t xml:space="preserve">The printed but unsigned version of this document is considered an "uncontrolled copy". Page </w:t>
        </w:r>
        <w:r>
          <w:fldChar w:fldCharType="begin"/>
        </w:r>
        <w:r>
          <w:instrText>PAGE  \* Arabic  \* MERGEFORMAT</w:instrText>
        </w:r>
        <w:r>
          <w:fldChar w:fldCharType="separate"/>
        </w:r>
        <w:r>
          <w:t>1</w:t>
        </w:r>
        <w:r>
          <w:fldChar w:fldCharType="end"/>
        </w:r>
        <w:r>
          <w:t xml:space="preserve"> / </w:t>
        </w:r>
        <w:fldSimple w:instr="NUMPAGES  \* Arabic  \* MERGEFORMAT">
          <w:r>
            <w:t>4</w:t>
          </w:r>
        </w:fldSimple>
      </w:p>
    </w:sdtContent>
  </w:sdt>
  <w:p w14:paraId="72DBC394" w14:textId="77777777" w:rsidR="002C5D34" w:rsidRDefault="002C5D3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73FCD" w14:textId="77777777" w:rsidR="00565820" w:rsidRDefault="00565820">
      <w:pPr>
        <w:spacing w:after="0" w:line="240" w:lineRule="auto"/>
      </w:pPr>
      <w:r>
        <w:separator/>
      </w:r>
    </w:p>
  </w:footnote>
  <w:footnote w:type="continuationSeparator" w:id="0">
    <w:p w14:paraId="55D7CAF7" w14:textId="77777777" w:rsidR="00565820" w:rsidRDefault="005658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C250D" w14:textId="656955FF" w:rsidR="002C5D34" w:rsidRDefault="002C5D34">
    <w:pPr>
      <w:pStyle w:val="stBilgi"/>
      <w:jc w:val="right"/>
      <w:rPr>
        <w:rFonts w:ascii="Times New Roman" w:hAnsi="Times New Roman" w:cs="Times New Roman"/>
        <w:b/>
      </w:rPr>
    </w:pPr>
  </w:p>
  <w:p w14:paraId="43160BF6" w14:textId="77777777" w:rsidR="002C5D34" w:rsidRDefault="002C5D34">
    <w:pPr>
      <w:pStyle w:val="stBilgi"/>
      <w:jc w:val="right"/>
      <w:rPr>
        <w:b/>
        <w:sz w:val="20"/>
      </w:rPr>
    </w:pPr>
  </w:p>
  <w:p w14:paraId="29CC7CC4" w14:textId="77777777" w:rsidR="002C5D34" w:rsidRDefault="002C5D3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E341C6"/>
    <w:multiLevelType w:val="hybridMultilevel"/>
    <w:tmpl w:val="2AC2DA60"/>
    <w:lvl w:ilvl="0" w:tplc="041F0001">
      <w:start w:val="1"/>
      <w:numFmt w:val="bullet"/>
      <w:lvlText w:val=""/>
      <w:lvlJc w:val="left"/>
      <w:pPr>
        <w:ind w:left="644"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51F0395E"/>
    <w:multiLevelType w:val="hybridMultilevel"/>
    <w:tmpl w:val="F7AAEC76"/>
    <w:lvl w:ilvl="0" w:tplc="0E8C4F8A">
      <w:start w:val="1"/>
      <w:numFmt w:val="lowerLetter"/>
      <w:lvlText w:val="%1)"/>
      <w:lvlJc w:val="left"/>
      <w:pPr>
        <w:ind w:left="785"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1E53D7"/>
    <w:multiLevelType w:val="hybridMultilevel"/>
    <w:tmpl w:val="537640D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16cid:durableId="688526031">
    <w:abstractNumId w:val="1"/>
  </w:num>
  <w:num w:numId="2" w16cid:durableId="680931367">
    <w:abstractNumId w:val="0"/>
  </w:num>
  <w:num w:numId="3" w16cid:durableId="9873174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C4A"/>
    <w:rsid w:val="0000636A"/>
    <w:rsid w:val="00017EDD"/>
    <w:rsid w:val="00033BB2"/>
    <w:rsid w:val="000670DF"/>
    <w:rsid w:val="00075468"/>
    <w:rsid w:val="000F324B"/>
    <w:rsid w:val="000F7D06"/>
    <w:rsid w:val="00103212"/>
    <w:rsid w:val="001154C1"/>
    <w:rsid w:val="00124FE1"/>
    <w:rsid w:val="00144AB8"/>
    <w:rsid w:val="00145779"/>
    <w:rsid w:val="00146D37"/>
    <w:rsid w:val="00152A0E"/>
    <w:rsid w:val="0016348C"/>
    <w:rsid w:val="00174EFB"/>
    <w:rsid w:val="00175FE7"/>
    <w:rsid w:val="00186990"/>
    <w:rsid w:val="001905B1"/>
    <w:rsid w:val="001C1E9F"/>
    <w:rsid w:val="001D5341"/>
    <w:rsid w:val="001F426D"/>
    <w:rsid w:val="002076D7"/>
    <w:rsid w:val="002154E6"/>
    <w:rsid w:val="0023162E"/>
    <w:rsid w:val="00243886"/>
    <w:rsid w:val="00243A87"/>
    <w:rsid w:val="00246798"/>
    <w:rsid w:val="002539D3"/>
    <w:rsid w:val="002629B5"/>
    <w:rsid w:val="002701DD"/>
    <w:rsid w:val="0029475E"/>
    <w:rsid w:val="002B2597"/>
    <w:rsid w:val="002B43BC"/>
    <w:rsid w:val="002C5D34"/>
    <w:rsid w:val="002E0CB4"/>
    <w:rsid w:val="002E52EC"/>
    <w:rsid w:val="002F1E7C"/>
    <w:rsid w:val="00306A1F"/>
    <w:rsid w:val="00315D1E"/>
    <w:rsid w:val="00315F37"/>
    <w:rsid w:val="00316F66"/>
    <w:rsid w:val="00330A04"/>
    <w:rsid w:val="0034402C"/>
    <w:rsid w:val="003467BF"/>
    <w:rsid w:val="003661E5"/>
    <w:rsid w:val="00374D24"/>
    <w:rsid w:val="00377920"/>
    <w:rsid w:val="00381413"/>
    <w:rsid w:val="0039034D"/>
    <w:rsid w:val="00390513"/>
    <w:rsid w:val="003A46B0"/>
    <w:rsid w:val="003B1E88"/>
    <w:rsid w:val="0041049B"/>
    <w:rsid w:val="00424B69"/>
    <w:rsid w:val="004425E7"/>
    <w:rsid w:val="00447F62"/>
    <w:rsid w:val="00460C4A"/>
    <w:rsid w:val="004633E5"/>
    <w:rsid w:val="0049512D"/>
    <w:rsid w:val="004B6825"/>
    <w:rsid w:val="004B6A27"/>
    <w:rsid w:val="004C2F3C"/>
    <w:rsid w:val="004C6A31"/>
    <w:rsid w:val="004D3658"/>
    <w:rsid w:val="0052195F"/>
    <w:rsid w:val="00533B4A"/>
    <w:rsid w:val="0053607B"/>
    <w:rsid w:val="005418C0"/>
    <w:rsid w:val="005442EC"/>
    <w:rsid w:val="00561A83"/>
    <w:rsid w:val="00565820"/>
    <w:rsid w:val="0057694B"/>
    <w:rsid w:val="005820F8"/>
    <w:rsid w:val="005825BF"/>
    <w:rsid w:val="005916A5"/>
    <w:rsid w:val="00592726"/>
    <w:rsid w:val="005D38AD"/>
    <w:rsid w:val="005D446D"/>
    <w:rsid w:val="005F0AFB"/>
    <w:rsid w:val="005F3917"/>
    <w:rsid w:val="00614329"/>
    <w:rsid w:val="006152DF"/>
    <w:rsid w:val="006153E3"/>
    <w:rsid w:val="0062034B"/>
    <w:rsid w:val="0062585C"/>
    <w:rsid w:val="00633531"/>
    <w:rsid w:val="006475A5"/>
    <w:rsid w:val="0065535D"/>
    <w:rsid w:val="00662FBB"/>
    <w:rsid w:val="00665002"/>
    <w:rsid w:val="006704B1"/>
    <w:rsid w:val="00683A14"/>
    <w:rsid w:val="00683E43"/>
    <w:rsid w:val="00685AD4"/>
    <w:rsid w:val="0068788B"/>
    <w:rsid w:val="006A473A"/>
    <w:rsid w:val="006B7645"/>
    <w:rsid w:val="006D0884"/>
    <w:rsid w:val="006F08BD"/>
    <w:rsid w:val="006F2978"/>
    <w:rsid w:val="00707FB3"/>
    <w:rsid w:val="007171AE"/>
    <w:rsid w:val="00740061"/>
    <w:rsid w:val="007509D0"/>
    <w:rsid w:val="007558C5"/>
    <w:rsid w:val="00763A97"/>
    <w:rsid w:val="00773C12"/>
    <w:rsid w:val="00781B0D"/>
    <w:rsid w:val="00790C52"/>
    <w:rsid w:val="0079624C"/>
    <w:rsid w:val="00797765"/>
    <w:rsid w:val="007A02A3"/>
    <w:rsid w:val="007A6955"/>
    <w:rsid w:val="007A793C"/>
    <w:rsid w:val="007C7B39"/>
    <w:rsid w:val="007D6DA4"/>
    <w:rsid w:val="00815159"/>
    <w:rsid w:val="0085387A"/>
    <w:rsid w:val="008570D2"/>
    <w:rsid w:val="00864B3C"/>
    <w:rsid w:val="00866EDA"/>
    <w:rsid w:val="00877959"/>
    <w:rsid w:val="00877A7A"/>
    <w:rsid w:val="008B1448"/>
    <w:rsid w:val="008B3B25"/>
    <w:rsid w:val="008B43D0"/>
    <w:rsid w:val="008B5454"/>
    <w:rsid w:val="008D71BC"/>
    <w:rsid w:val="00906A0F"/>
    <w:rsid w:val="00916D36"/>
    <w:rsid w:val="00922BEF"/>
    <w:rsid w:val="009317B2"/>
    <w:rsid w:val="00934AB3"/>
    <w:rsid w:val="00941ECF"/>
    <w:rsid w:val="00947462"/>
    <w:rsid w:val="00951BF9"/>
    <w:rsid w:val="009650F6"/>
    <w:rsid w:val="00972502"/>
    <w:rsid w:val="00976D4E"/>
    <w:rsid w:val="00997DA8"/>
    <w:rsid w:val="009A18BD"/>
    <w:rsid w:val="009D3B5F"/>
    <w:rsid w:val="009E6362"/>
    <w:rsid w:val="009F32F6"/>
    <w:rsid w:val="009F6201"/>
    <w:rsid w:val="00A03D83"/>
    <w:rsid w:val="00A1140C"/>
    <w:rsid w:val="00A24F96"/>
    <w:rsid w:val="00A62D7C"/>
    <w:rsid w:val="00A66350"/>
    <w:rsid w:val="00A663AE"/>
    <w:rsid w:val="00A7130F"/>
    <w:rsid w:val="00AA318D"/>
    <w:rsid w:val="00AD7B8E"/>
    <w:rsid w:val="00AF04C7"/>
    <w:rsid w:val="00AF2C93"/>
    <w:rsid w:val="00AF7AE3"/>
    <w:rsid w:val="00B03DEC"/>
    <w:rsid w:val="00B123DF"/>
    <w:rsid w:val="00B1359C"/>
    <w:rsid w:val="00B44966"/>
    <w:rsid w:val="00B54BBD"/>
    <w:rsid w:val="00B564E2"/>
    <w:rsid w:val="00B63DB5"/>
    <w:rsid w:val="00B71E6B"/>
    <w:rsid w:val="00B95126"/>
    <w:rsid w:val="00BA24C5"/>
    <w:rsid w:val="00BB2612"/>
    <w:rsid w:val="00BC5AE0"/>
    <w:rsid w:val="00BD0326"/>
    <w:rsid w:val="00BD2305"/>
    <w:rsid w:val="00BE44F5"/>
    <w:rsid w:val="00BE4C46"/>
    <w:rsid w:val="00BF50FE"/>
    <w:rsid w:val="00BF77EB"/>
    <w:rsid w:val="00C14DF9"/>
    <w:rsid w:val="00C2244E"/>
    <w:rsid w:val="00C257F6"/>
    <w:rsid w:val="00C3555D"/>
    <w:rsid w:val="00C42495"/>
    <w:rsid w:val="00C45363"/>
    <w:rsid w:val="00C569DD"/>
    <w:rsid w:val="00C76AFA"/>
    <w:rsid w:val="00CA144C"/>
    <w:rsid w:val="00CB16B0"/>
    <w:rsid w:val="00CC0FDA"/>
    <w:rsid w:val="00CE3B44"/>
    <w:rsid w:val="00CF5B3C"/>
    <w:rsid w:val="00D20B1D"/>
    <w:rsid w:val="00D2605F"/>
    <w:rsid w:val="00D34DAB"/>
    <w:rsid w:val="00D53A6A"/>
    <w:rsid w:val="00D54641"/>
    <w:rsid w:val="00D71B2E"/>
    <w:rsid w:val="00D93F2E"/>
    <w:rsid w:val="00DA026A"/>
    <w:rsid w:val="00DA0576"/>
    <w:rsid w:val="00DA54DE"/>
    <w:rsid w:val="00DA5C7C"/>
    <w:rsid w:val="00DB5BEB"/>
    <w:rsid w:val="00DC0187"/>
    <w:rsid w:val="00DD6031"/>
    <w:rsid w:val="00DF1D83"/>
    <w:rsid w:val="00DF448D"/>
    <w:rsid w:val="00E0089E"/>
    <w:rsid w:val="00E2659A"/>
    <w:rsid w:val="00E3301B"/>
    <w:rsid w:val="00E37662"/>
    <w:rsid w:val="00E41E89"/>
    <w:rsid w:val="00E64074"/>
    <w:rsid w:val="00E83E8E"/>
    <w:rsid w:val="00EA7F0E"/>
    <w:rsid w:val="00EB7926"/>
    <w:rsid w:val="00EC12A3"/>
    <w:rsid w:val="00EC4738"/>
    <w:rsid w:val="00ED2C28"/>
    <w:rsid w:val="00EE53BD"/>
    <w:rsid w:val="00EF432F"/>
    <w:rsid w:val="00F0645D"/>
    <w:rsid w:val="00F104D5"/>
    <w:rsid w:val="00F11838"/>
    <w:rsid w:val="00F12CA0"/>
    <w:rsid w:val="00F24BD2"/>
    <w:rsid w:val="00F52009"/>
    <w:rsid w:val="00F54645"/>
    <w:rsid w:val="00F54845"/>
    <w:rsid w:val="00F965E6"/>
    <w:rsid w:val="00FA0DB1"/>
    <w:rsid w:val="00FA4C86"/>
    <w:rsid w:val="00FB7BFD"/>
    <w:rsid w:val="00FD045B"/>
    <w:rsid w:val="00FD2743"/>
    <w:rsid w:val="00FF6F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1A00C"/>
  <w15:docId w15:val="{63FDD878-EB58-49B2-9BA3-BED0EE67F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B1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F6F10"/>
    <w:pPr>
      <w:ind w:left="720"/>
      <w:contextualSpacing/>
    </w:pPr>
  </w:style>
  <w:style w:type="table" w:styleId="TabloKlavuzu">
    <w:name w:val="Table Grid"/>
    <w:basedOn w:val="NormalTablo"/>
    <w:uiPriority w:val="39"/>
    <w:rsid w:val="00DF1D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E83E8E"/>
    <w:pPr>
      <w:spacing w:after="0" w:line="240" w:lineRule="auto"/>
    </w:pPr>
    <w:rPr>
      <w:rFonts w:ascii="Tahoma" w:hAnsi="Tahoma" w:cs="Tahoma"/>
      <w:sz w:val="16"/>
    </w:rPr>
  </w:style>
  <w:style w:type="character" w:customStyle="1" w:styleId="BalonMetniChar">
    <w:name w:val="Balon Metni Char"/>
    <w:basedOn w:val="VarsaylanParagrafYazTipi"/>
    <w:link w:val="BalonMetni"/>
    <w:uiPriority w:val="99"/>
    <w:semiHidden/>
    <w:rsid w:val="00E83E8E"/>
    <w:rPr>
      <w:rFonts w:ascii="Tahoma" w:hAnsi="Tahoma" w:cs="Tahoma"/>
      <w:sz w:val="16"/>
    </w:rPr>
  </w:style>
  <w:style w:type="paragraph" w:styleId="Dzeltme">
    <w:name w:val="Revision"/>
    <w:hidden/>
    <w:uiPriority w:val="99"/>
    <w:semiHidden/>
    <w:rsid w:val="00F0645D"/>
    <w:pPr>
      <w:spacing w:after="0" w:line="240" w:lineRule="auto"/>
    </w:pPr>
  </w:style>
  <w:style w:type="paragraph" w:styleId="stBilgi">
    <w:name w:val="header"/>
    <w:basedOn w:val="Normal"/>
    <w:link w:val="stBilgiChar"/>
    <w:uiPriority w:val="99"/>
    <w:unhideWhenUsed/>
    <w:rsid w:val="0049512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9512D"/>
  </w:style>
  <w:style w:type="paragraph" w:styleId="AltBilgi">
    <w:name w:val="footer"/>
    <w:basedOn w:val="Normal"/>
    <w:link w:val="AltBilgiChar"/>
    <w:uiPriority w:val="99"/>
    <w:unhideWhenUsed/>
    <w:rsid w:val="0049512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9512D"/>
  </w:style>
  <w:style w:type="character" w:styleId="AklamaBavurusu">
    <w:name w:val="annotation reference"/>
    <w:basedOn w:val="VarsaylanParagrafYazTipi"/>
    <w:uiPriority w:val="99"/>
    <w:semiHidden/>
    <w:unhideWhenUsed/>
    <w:rsid w:val="00DB5BEB"/>
    <w:rPr>
      <w:sz w:val="16"/>
    </w:rPr>
  </w:style>
  <w:style w:type="paragraph" w:styleId="AklamaMetni">
    <w:name w:val="annotation text"/>
    <w:basedOn w:val="Normal"/>
    <w:link w:val="AklamaMetniChar"/>
    <w:uiPriority w:val="99"/>
    <w:unhideWhenUsed/>
    <w:rsid w:val="00DB5BEB"/>
    <w:pPr>
      <w:spacing w:line="240" w:lineRule="auto"/>
    </w:pPr>
    <w:rPr>
      <w:sz w:val="20"/>
    </w:rPr>
  </w:style>
  <w:style w:type="character" w:customStyle="1" w:styleId="AklamaMetniChar">
    <w:name w:val="Açıklama Metni Char"/>
    <w:basedOn w:val="VarsaylanParagrafYazTipi"/>
    <w:link w:val="AklamaMetni"/>
    <w:uiPriority w:val="99"/>
    <w:rsid w:val="00DB5BEB"/>
    <w:rPr>
      <w:sz w:val="20"/>
    </w:rPr>
  </w:style>
  <w:style w:type="paragraph" w:styleId="AklamaKonusu">
    <w:name w:val="annotation subject"/>
    <w:basedOn w:val="AklamaMetni"/>
    <w:next w:val="AklamaMetni"/>
    <w:link w:val="AklamaKonusuChar"/>
    <w:uiPriority w:val="99"/>
    <w:semiHidden/>
    <w:unhideWhenUsed/>
    <w:rsid w:val="00DB5BEB"/>
    <w:rPr>
      <w:b/>
    </w:rPr>
  </w:style>
  <w:style w:type="character" w:customStyle="1" w:styleId="AklamaKonusuChar">
    <w:name w:val="Açıklama Konusu Char"/>
    <w:basedOn w:val="AklamaMetniChar"/>
    <w:link w:val="AklamaKonusu"/>
    <w:uiPriority w:val="99"/>
    <w:semiHidden/>
    <w:rsid w:val="00DB5BEB"/>
    <w:rPr>
      <w:b/>
      <w:sz w:val="20"/>
    </w:rPr>
  </w:style>
  <w:style w:type="paragraph" w:customStyle="1" w:styleId="P68B1DB1-Normal1">
    <w:name w:val="P68B1DB1-Normal1"/>
    <w:basedOn w:val="Normal"/>
    <w:rPr>
      <w:rFonts w:ascii="Times New Roman" w:hAnsi="Times New Roman" w:cs="Times New Roman"/>
      <w:color w:val="002060"/>
    </w:rPr>
  </w:style>
  <w:style w:type="paragraph" w:customStyle="1" w:styleId="P68B1DB1-Normal2">
    <w:name w:val="P68B1DB1-Normal2"/>
    <w:basedOn w:val="Normal"/>
    <w:rPr>
      <w:rFonts w:ascii="Times New Roman" w:hAnsi="Times New Roman" w:cs="Times New Roman"/>
      <w:b/>
      <w:sz w:val="24"/>
    </w:rPr>
  </w:style>
  <w:style w:type="paragraph" w:customStyle="1" w:styleId="P68B1DB1-Normal3">
    <w:name w:val="P68B1DB1-Normal3"/>
    <w:basedOn w:val="Normal"/>
    <w:rPr>
      <w:rFonts w:ascii="Times New Roman" w:hAnsi="Times New Roman" w:cs="Times New Roman"/>
      <w:sz w:val="24"/>
    </w:rPr>
  </w:style>
  <w:style w:type="paragraph" w:customStyle="1" w:styleId="P68B1DB1-ListeParagraf4">
    <w:name w:val="P68B1DB1-ListeParagraf4"/>
    <w:basedOn w:val="ListeParagraf"/>
    <w:rPr>
      <w:rFonts w:ascii="Times New Roman" w:hAnsi="Times New Roman" w:cs="Times New Roman"/>
      <w:sz w:val="24"/>
    </w:rPr>
  </w:style>
  <w:style w:type="paragraph" w:customStyle="1" w:styleId="P68B1DB1-ListeParagraf5">
    <w:name w:val="P68B1DB1-ListeParagraf5"/>
    <w:basedOn w:val="ListeParagraf"/>
    <w:rPr>
      <w:rFonts w:ascii="Times New Roman" w:eastAsia="Times New Roman" w:hAnsi="Times New Roman" w:cs="Times New Roman"/>
      <w:sz w:val="24"/>
    </w:rPr>
  </w:style>
  <w:style w:type="paragraph" w:customStyle="1" w:styleId="P68B1DB1-AltBilgi6">
    <w:name w:val="P68B1DB1-AltBilgi6"/>
    <w:basedOn w:val="AltBilgi"/>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849306">
      <w:bodyDiv w:val="1"/>
      <w:marLeft w:val="0"/>
      <w:marRight w:val="0"/>
      <w:marTop w:val="0"/>
      <w:marBottom w:val="0"/>
      <w:divBdr>
        <w:top w:val="none" w:sz="0" w:space="0" w:color="auto"/>
        <w:left w:val="none" w:sz="0" w:space="0" w:color="auto"/>
        <w:bottom w:val="none" w:sz="0" w:space="0" w:color="auto"/>
        <w:right w:val="none" w:sz="0" w:space="0" w:color="auto"/>
      </w:divBdr>
      <w:divsChild>
        <w:div w:id="152186918">
          <w:marLeft w:val="0"/>
          <w:marRight w:val="0"/>
          <w:marTop w:val="0"/>
          <w:marBottom w:val="0"/>
          <w:divBdr>
            <w:top w:val="none" w:sz="0" w:space="0" w:color="auto"/>
            <w:left w:val="none" w:sz="0" w:space="0" w:color="auto"/>
            <w:bottom w:val="none" w:sz="0" w:space="0" w:color="auto"/>
            <w:right w:val="none" w:sz="0" w:space="0" w:color="auto"/>
          </w:divBdr>
        </w:div>
        <w:div w:id="841359757">
          <w:marLeft w:val="0"/>
          <w:marRight w:val="0"/>
          <w:marTop w:val="0"/>
          <w:marBottom w:val="0"/>
          <w:divBdr>
            <w:top w:val="none" w:sz="0" w:space="0" w:color="auto"/>
            <w:left w:val="none" w:sz="0" w:space="0" w:color="auto"/>
            <w:bottom w:val="none" w:sz="0" w:space="0" w:color="auto"/>
            <w:right w:val="none" w:sz="0" w:space="0" w:color="auto"/>
          </w:divBdr>
        </w:div>
        <w:div w:id="571623994">
          <w:marLeft w:val="0"/>
          <w:marRight w:val="0"/>
          <w:marTop w:val="0"/>
          <w:marBottom w:val="0"/>
          <w:divBdr>
            <w:top w:val="none" w:sz="0" w:space="0" w:color="auto"/>
            <w:left w:val="none" w:sz="0" w:space="0" w:color="auto"/>
            <w:bottom w:val="none" w:sz="0" w:space="0" w:color="auto"/>
            <w:right w:val="none" w:sz="0" w:space="0" w:color="auto"/>
          </w:divBdr>
        </w:div>
        <w:div w:id="752354475">
          <w:marLeft w:val="0"/>
          <w:marRight w:val="0"/>
          <w:marTop w:val="0"/>
          <w:marBottom w:val="0"/>
          <w:divBdr>
            <w:top w:val="none" w:sz="0" w:space="0" w:color="auto"/>
            <w:left w:val="none" w:sz="0" w:space="0" w:color="auto"/>
            <w:bottom w:val="none" w:sz="0" w:space="0" w:color="auto"/>
            <w:right w:val="none" w:sz="0" w:space="0" w:color="auto"/>
          </w:divBdr>
        </w:div>
        <w:div w:id="522284728">
          <w:marLeft w:val="0"/>
          <w:marRight w:val="0"/>
          <w:marTop w:val="0"/>
          <w:marBottom w:val="0"/>
          <w:divBdr>
            <w:top w:val="none" w:sz="0" w:space="0" w:color="auto"/>
            <w:left w:val="none" w:sz="0" w:space="0" w:color="auto"/>
            <w:bottom w:val="none" w:sz="0" w:space="0" w:color="auto"/>
            <w:right w:val="none" w:sz="0" w:space="0" w:color="auto"/>
          </w:divBdr>
        </w:div>
      </w:divsChild>
    </w:div>
    <w:div w:id="593900971">
      <w:bodyDiv w:val="1"/>
      <w:marLeft w:val="0"/>
      <w:marRight w:val="0"/>
      <w:marTop w:val="0"/>
      <w:marBottom w:val="0"/>
      <w:divBdr>
        <w:top w:val="none" w:sz="0" w:space="0" w:color="auto"/>
        <w:left w:val="none" w:sz="0" w:space="0" w:color="auto"/>
        <w:bottom w:val="none" w:sz="0" w:space="0" w:color="auto"/>
        <w:right w:val="none" w:sz="0" w:space="0" w:color="auto"/>
      </w:divBdr>
      <w:divsChild>
        <w:div w:id="2127264245">
          <w:marLeft w:val="0"/>
          <w:marRight w:val="0"/>
          <w:marTop w:val="0"/>
          <w:marBottom w:val="0"/>
          <w:divBdr>
            <w:top w:val="none" w:sz="0" w:space="0" w:color="auto"/>
            <w:left w:val="none" w:sz="0" w:space="0" w:color="auto"/>
            <w:bottom w:val="none" w:sz="0" w:space="0" w:color="auto"/>
            <w:right w:val="none" w:sz="0" w:space="0" w:color="auto"/>
          </w:divBdr>
        </w:div>
        <w:div w:id="1802575266">
          <w:marLeft w:val="0"/>
          <w:marRight w:val="0"/>
          <w:marTop w:val="0"/>
          <w:marBottom w:val="0"/>
          <w:divBdr>
            <w:top w:val="none" w:sz="0" w:space="0" w:color="auto"/>
            <w:left w:val="none" w:sz="0" w:space="0" w:color="auto"/>
            <w:bottom w:val="none" w:sz="0" w:space="0" w:color="auto"/>
            <w:right w:val="none" w:sz="0" w:space="0" w:color="auto"/>
          </w:divBdr>
        </w:div>
        <w:div w:id="1860001608">
          <w:marLeft w:val="0"/>
          <w:marRight w:val="0"/>
          <w:marTop w:val="0"/>
          <w:marBottom w:val="0"/>
          <w:divBdr>
            <w:top w:val="none" w:sz="0" w:space="0" w:color="auto"/>
            <w:left w:val="none" w:sz="0" w:space="0" w:color="auto"/>
            <w:bottom w:val="none" w:sz="0" w:space="0" w:color="auto"/>
            <w:right w:val="none" w:sz="0" w:space="0" w:color="auto"/>
          </w:divBdr>
        </w:div>
        <w:div w:id="1617326854">
          <w:marLeft w:val="0"/>
          <w:marRight w:val="0"/>
          <w:marTop w:val="0"/>
          <w:marBottom w:val="0"/>
          <w:divBdr>
            <w:top w:val="none" w:sz="0" w:space="0" w:color="auto"/>
            <w:left w:val="none" w:sz="0" w:space="0" w:color="auto"/>
            <w:bottom w:val="none" w:sz="0" w:space="0" w:color="auto"/>
            <w:right w:val="none" w:sz="0" w:space="0" w:color="auto"/>
          </w:divBdr>
        </w:div>
        <w:div w:id="1705130162">
          <w:marLeft w:val="0"/>
          <w:marRight w:val="0"/>
          <w:marTop w:val="0"/>
          <w:marBottom w:val="0"/>
          <w:divBdr>
            <w:top w:val="none" w:sz="0" w:space="0" w:color="auto"/>
            <w:left w:val="none" w:sz="0" w:space="0" w:color="auto"/>
            <w:bottom w:val="none" w:sz="0" w:space="0" w:color="auto"/>
            <w:right w:val="none" w:sz="0" w:space="0" w:color="auto"/>
          </w:divBdr>
        </w:div>
      </w:divsChild>
    </w:div>
    <w:div w:id="693924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4</Pages>
  <Words>928</Words>
  <Characters>5220</Characters>
  <Application>Microsoft Office Word</Application>
  <DocSecurity>0</DocSecurity>
  <Lines>145</Lines>
  <Paragraphs>97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 Dr. Şahamet BÜLBÜL</dc:creator>
  <cp:lastModifiedBy>Mehmet Onur TOĞAN</cp:lastModifiedBy>
  <cp:revision>21</cp:revision>
  <dcterms:created xsi:type="dcterms:W3CDTF">2024-10-14T19:57:00Z</dcterms:created>
  <dcterms:modified xsi:type="dcterms:W3CDTF">2026-02-03T06:18:00Z</dcterms:modified>
</cp:coreProperties>
</file>